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rPr>
          <w:rFonts w:asciiTheme="majorHAnsi" w:eastAsia="Times New Roman" w:hAnsiTheme="majorHAnsi" w:cstheme="majorHAnsi"/>
          <w:color w:val="4472C4" w:themeColor="accent1"/>
          <w:sz w:val="20"/>
          <w:szCs w:val="20"/>
          <w:lang w:val="en-US" w:eastAsia="en-US"/>
        </w:rPr>
        <w:id w:val="65086798"/>
        <w:docPartObj>
          <w:docPartGallery w:val="Cover Pages"/>
          <w:docPartUnique/>
        </w:docPartObj>
      </w:sdtPr>
      <w:sdtEndPr>
        <w:rPr>
          <w:b/>
          <w:color w:val="auto"/>
          <w:sz w:val="28"/>
          <w:szCs w:val="24"/>
        </w:rPr>
      </w:sdtEndPr>
      <w:sdtContent>
        <w:p w:rsidR="00D31BD8" w:rsidRPr="00460C97" w:rsidRDefault="00D31BD8">
          <w:pPr>
            <w:pStyle w:val="Bezproreda"/>
            <w:spacing w:before="1540" w:after="240"/>
            <w:jc w:val="center"/>
            <w:rPr>
              <w:rFonts w:asciiTheme="majorHAnsi" w:hAnsiTheme="majorHAnsi" w:cstheme="majorHAnsi"/>
              <w:color w:val="4472C4" w:themeColor="accent1"/>
            </w:rPr>
          </w:pPr>
          <w:r w:rsidRPr="00460C97">
            <w:rPr>
              <w:rFonts w:asciiTheme="majorHAnsi" w:hAnsiTheme="majorHAnsi" w:cstheme="majorHAnsi"/>
              <w:noProof/>
              <w:sz w:val="16"/>
            </w:rPr>
            <w:drawing>
              <wp:anchor distT="0" distB="0" distL="114300" distR="114300" simplePos="0" relativeHeight="251662848" behindDoc="0" locked="0" layoutInCell="1" allowOverlap="1" wp14:anchorId="54CA9928" wp14:editId="7B627B74">
                <wp:simplePos x="0" y="0"/>
                <wp:positionH relativeFrom="column">
                  <wp:posOffset>2080260</wp:posOffset>
                </wp:positionH>
                <wp:positionV relativeFrom="paragraph">
                  <wp:posOffset>91440</wp:posOffset>
                </wp:positionV>
                <wp:extent cx="1440180" cy="1562100"/>
                <wp:effectExtent l="0" t="0" r="7620" b="0"/>
                <wp:wrapNone/>
                <wp:docPr id="458" name="Slika 4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2521FC" w:rsidRPr="00460C97" w:rsidRDefault="002521FC">
          <w:pPr>
            <w:pStyle w:val="Bezproreda"/>
            <w:spacing w:before="1540" w:after="240"/>
            <w:jc w:val="center"/>
            <w:rPr>
              <w:rFonts w:asciiTheme="majorHAnsi" w:hAnsiTheme="majorHAnsi" w:cstheme="majorHAnsi"/>
              <w:color w:val="4472C4" w:themeColor="accent1"/>
            </w:rPr>
          </w:pPr>
          <w:r w:rsidRPr="00460C97">
            <w:rPr>
              <w:rFonts w:asciiTheme="majorHAnsi" w:hAnsiTheme="majorHAnsi" w:cstheme="majorHAnsi"/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Slika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hAnsiTheme="majorHAnsi" w:cstheme="majorHAnsi"/>
              <w:b/>
              <w:i/>
              <w:color w:val="943634"/>
              <w:sz w:val="72"/>
              <w:szCs w:val="52"/>
            </w:rPr>
            <w:alias w:val="Naslov"/>
            <w:tag w:val=""/>
            <w:id w:val="1735040861"/>
            <w:placeholder>
              <w:docPart w:val="E362D802308B4528BDF06730DEF6BE1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2521FC" w:rsidRPr="00460C97" w:rsidRDefault="002521FC">
              <w:pPr>
                <w:pStyle w:val="Bezproreda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HAnsi"/>
                  <w:caps/>
                  <w:color w:val="4472C4" w:themeColor="accent1"/>
                  <w:sz w:val="80"/>
                  <w:szCs w:val="80"/>
                </w:rPr>
              </w:pPr>
              <w:r w:rsidRPr="00460C97">
                <w:rPr>
                  <w:rFonts w:asciiTheme="majorHAnsi" w:hAnsiTheme="majorHAnsi" w:cstheme="majorHAnsi"/>
                  <w:b/>
                  <w:i/>
                  <w:color w:val="943634"/>
                  <w:sz w:val="72"/>
                  <w:szCs w:val="52"/>
                </w:rPr>
                <w:t>VODIČ ZA GRAĐANE</w:t>
              </w:r>
            </w:p>
          </w:sdtContent>
        </w:sdt>
        <w:sdt>
          <w:sdtPr>
            <w:rPr>
              <w:rFonts w:asciiTheme="majorHAnsi" w:eastAsia="Times New Roman" w:hAnsiTheme="majorHAnsi" w:cstheme="majorHAnsi"/>
              <w:b/>
              <w:i/>
              <w:color w:val="943634"/>
              <w:sz w:val="52"/>
              <w:szCs w:val="52"/>
              <w:lang w:eastAsia="en-US"/>
            </w:rPr>
            <w:alias w:val="Podnaslov"/>
            <w:tag w:val=""/>
            <w:id w:val="328029620"/>
            <w:placeholder>
              <w:docPart w:val="722E679086FB4F049413D3307E2E53F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2521FC" w:rsidRPr="00460C97" w:rsidRDefault="002521FC" w:rsidP="002521FC">
              <w:pPr>
                <w:pStyle w:val="Bezproreda"/>
                <w:jc w:val="center"/>
                <w:rPr>
                  <w:rFonts w:asciiTheme="majorHAnsi" w:hAnsiTheme="majorHAnsi" w:cstheme="majorHAnsi"/>
                  <w:color w:val="4472C4" w:themeColor="accent1"/>
                  <w:sz w:val="28"/>
                  <w:szCs w:val="28"/>
                </w:rPr>
              </w:pPr>
              <w:r w:rsidRPr="00460C97">
                <w:rPr>
                  <w:rFonts w:asciiTheme="majorHAnsi" w:eastAsia="Times New Roman" w:hAnsiTheme="majorHAnsi" w:cstheme="majorHAnsi"/>
                  <w:b/>
                  <w:i/>
                  <w:color w:val="943634"/>
                  <w:sz w:val="52"/>
                  <w:szCs w:val="52"/>
                  <w:lang w:eastAsia="en-US"/>
                </w:rPr>
                <w:t>PRORAČUN OPĆINE GORNJA VRBA ZA 2023. GODINU I PROJEKCIJA PRORAČUNA ZA 2024. - 2025. GODINU</w:t>
              </w:r>
            </w:p>
          </w:sdtContent>
        </w:sdt>
        <w:p w:rsidR="002521FC" w:rsidRPr="00460C97" w:rsidRDefault="002521FC">
          <w:pPr>
            <w:pStyle w:val="Bezproreda"/>
            <w:spacing w:before="480"/>
            <w:jc w:val="center"/>
            <w:rPr>
              <w:rFonts w:asciiTheme="majorHAnsi" w:hAnsiTheme="majorHAnsi" w:cstheme="majorHAnsi"/>
              <w:color w:val="4472C4" w:themeColor="accent1"/>
            </w:rPr>
          </w:pPr>
          <w:r w:rsidRPr="00460C97">
            <w:rPr>
              <w:rFonts w:asciiTheme="majorHAnsi" w:hAnsiTheme="majorHAnsi" w:cstheme="majorHAnsi"/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9087485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kstni okvir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521FC" w:rsidRDefault="002521FC">
                                <w:pPr>
                                  <w:pStyle w:val="Bezproreda"/>
                                  <w:spacing w:after="40"/>
                                  <w:jc w:val="center"/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2521FC" w:rsidRDefault="002521FC" w:rsidP="002521FC">
                                <w:pPr>
                                  <w:jc w:val="center"/>
                                  <w:rPr>
                                    <w:rFonts w:ascii="Calibri" w:hAnsi="Calibri"/>
                                    <w:b/>
                                    <w:i/>
                                    <w:color w:val="943634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0A4D13">
                                  <w:rPr>
                                    <w:rFonts w:ascii="Calibri" w:hAnsi="Calibri"/>
                                    <w:b/>
                                    <w:i/>
                                    <w:color w:val="943634"/>
                                    <w:sz w:val="28"/>
                                    <w:szCs w:val="28"/>
                                    <w:lang w:val="hr-HR"/>
                                  </w:rPr>
                                  <w:t xml:space="preserve">Gornja Vrba, </w:t>
                                </w:r>
                              </w:p>
                              <w:p w:rsidR="002521FC" w:rsidRPr="000A4D13" w:rsidRDefault="002521FC" w:rsidP="002521FC">
                                <w:pPr>
                                  <w:jc w:val="center"/>
                                  <w:rPr>
                                    <w:rFonts w:ascii="Calibri" w:hAnsi="Calibri"/>
                                    <w:b/>
                                    <w:i/>
                                    <w:color w:val="943634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0A4D13">
                                  <w:rPr>
                                    <w:rFonts w:ascii="Calibri" w:hAnsi="Calibri"/>
                                    <w:b/>
                                    <w:i/>
                                    <w:color w:val="943634"/>
                                    <w:sz w:val="28"/>
                                    <w:szCs w:val="28"/>
                                    <w:lang w:val="hr-HR"/>
                                  </w:rPr>
                                  <w:t>studeni 2022.godine</w:t>
                                </w:r>
                              </w:p>
                              <w:p w:rsidR="002521FC" w:rsidRDefault="002521FC" w:rsidP="002521FC">
                                <w:pPr>
                                  <w:pStyle w:val="Bezproreda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42" o:spid="_x0000_s1026" type="#_x0000_t202" style="position:absolute;left:0;text-align:left;margin-left:0;margin-top:0;width:516pt;height:43.9pt;z-index:25166080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p w:rsidR="002521FC" w:rsidRDefault="002521FC">
                          <w:pPr>
                            <w:pStyle w:val="Bezproreda"/>
                            <w:spacing w:after="40"/>
                            <w:jc w:val="center"/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</w:pPr>
                        </w:p>
                        <w:p w:rsidR="002521FC" w:rsidRDefault="002521FC" w:rsidP="002521FC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943634"/>
                              <w:sz w:val="28"/>
                              <w:szCs w:val="28"/>
                              <w:lang w:val="hr-HR"/>
                            </w:rPr>
                          </w:pPr>
                          <w:r w:rsidRPr="000A4D13">
                            <w:rPr>
                              <w:rFonts w:ascii="Calibri" w:hAnsi="Calibri"/>
                              <w:b/>
                              <w:i/>
                              <w:color w:val="943634"/>
                              <w:sz w:val="28"/>
                              <w:szCs w:val="28"/>
                              <w:lang w:val="hr-HR"/>
                            </w:rPr>
                            <w:t xml:space="preserve">Gornja Vrba, </w:t>
                          </w:r>
                        </w:p>
                        <w:p w:rsidR="002521FC" w:rsidRPr="000A4D13" w:rsidRDefault="002521FC" w:rsidP="002521FC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943634"/>
                              <w:sz w:val="28"/>
                              <w:szCs w:val="28"/>
                              <w:lang w:val="hr-HR"/>
                            </w:rPr>
                          </w:pPr>
                          <w:r w:rsidRPr="000A4D13">
                            <w:rPr>
                              <w:rFonts w:ascii="Calibri" w:hAnsi="Calibri"/>
                              <w:b/>
                              <w:i/>
                              <w:color w:val="943634"/>
                              <w:sz w:val="28"/>
                              <w:szCs w:val="28"/>
                              <w:lang w:val="hr-HR"/>
                            </w:rPr>
                            <w:t>studeni 2022.godine</w:t>
                          </w:r>
                        </w:p>
                        <w:p w:rsidR="002521FC" w:rsidRDefault="002521FC" w:rsidP="002521FC">
                          <w:pPr>
                            <w:pStyle w:val="Bezproreda"/>
                            <w:jc w:val="center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460C97">
            <w:rPr>
              <w:rFonts w:asciiTheme="majorHAnsi" w:hAnsiTheme="majorHAnsi" w:cstheme="majorHAnsi"/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Slika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1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521FC" w:rsidRPr="00460C97" w:rsidRDefault="002521FC">
          <w:pPr>
            <w:rPr>
              <w:rFonts w:asciiTheme="majorHAnsi" w:hAnsiTheme="majorHAnsi" w:cstheme="majorHAnsi"/>
              <w:b/>
              <w:sz w:val="28"/>
              <w:szCs w:val="24"/>
              <w:lang w:val="hr-HR"/>
            </w:rPr>
          </w:pPr>
          <w:r w:rsidRPr="00460C97">
            <w:rPr>
              <w:rFonts w:asciiTheme="majorHAnsi" w:hAnsiTheme="majorHAnsi" w:cstheme="majorHAnsi"/>
              <w:b/>
              <w:sz w:val="28"/>
              <w:szCs w:val="24"/>
              <w:lang w:val="hr-HR"/>
            </w:rPr>
            <w:br w:type="page"/>
          </w:r>
        </w:p>
        <w:p w:rsidR="00B412C6" w:rsidRPr="00460C97" w:rsidRDefault="00F84044" w:rsidP="00460C97">
          <w:pPr>
            <w:rPr>
              <w:rFonts w:asciiTheme="majorHAnsi" w:hAnsiTheme="majorHAnsi" w:cstheme="majorHAnsi"/>
              <w:b/>
              <w:sz w:val="28"/>
              <w:szCs w:val="24"/>
              <w:lang w:val="hr-HR"/>
            </w:rPr>
          </w:pPr>
        </w:p>
      </w:sdtContent>
    </w:sdt>
    <w:sdt>
      <w:sdtPr>
        <w:rPr>
          <w:rFonts w:ascii="Times New Roman" w:eastAsia="Times New Roman" w:hAnsi="Times New Roman" w:cstheme="majorHAnsi"/>
          <w:color w:val="auto"/>
          <w:sz w:val="20"/>
          <w:szCs w:val="20"/>
          <w:lang w:val="en-US" w:eastAsia="en-US"/>
        </w:rPr>
        <w:id w:val="-8586625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53629" w:rsidRPr="00460C97" w:rsidRDefault="00553629">
          <w:pPr>
            <w:pStyle w:val="TOCNaslov"/>
            <w:rPr>
              <w:rFonts w:cstheme="majorHAnsi"/>
              <w:color w:val="auto"/>
            </w:rPr>
          </w:pPr>
          <w:r w:rsidRPr="00460C97">
            <w:rPr>
              <w:rFonts w:cstheme="majorHAnsi"/>
              <w:color w:val="auto"/>
            </w:rPr>
            <w:t>Sadržaj</w:t>
          </w:r>
        </w:p>
        <w:p w:rsidR="00F84044" w:rsidRDefault="00553629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</w:rPr>
          </w:pPr>
          <w:r w:rsidRPr="00460C97">
            <w:rPr>
              <w:rFonts w:asciiTheme="majorHAnsi" w:hAnsiTheme="majorHAnsi" w:cstheme="majorHAnsi"/>
            </w:rPr>
            <w:fldChar w:fldCharType="begin"/>
          </w:r>
          <w:r w:rsidRPr="00460C97">
            <w:rPr>
              <w:rFonts w:asciiTheme="majorHAnsi" w:hAnsiTheme="majorHAnsi" w:cstheme="majorHAnsi"/>
            </w:rPr>
            <w:instrText xml:space="preserve"> TOC \o "1-3" \h \z \u </w:instrText>
          </w:r>
          <w:r w:rsidRPr="00460C97">
            <w:rPr>
              <w:rFonts w:asciiTheme="majorHAnsi" w:hAnsiTheme="majorHAnsi" w:cstheme="majorHAnsi"/>
            </w:rPr>
            <w:fldChar w:fldCharType="separate"/>
          </w:r>
          <w:hyperlink w:anchor="_Toc119410802" w:history="1">
            <w:r w:rsidR="00F84044" w:rsidRPr="00C21A67">
              <w:rPr>
                <w:rStyle w:val="Hiperveza"/>
                <w:rFonts w:cstheme="majorHAnsi"/>
                <w:noProof/>
              </w:rPr>
              <w:t>1.</w:t>
            </w:r>
            <w:r w:rsidR="00F84044">
              <w:rPr>
                <w:rFonts w:cstheme="minorBidi"/>
                <w:noProof/>
              </w:rPr>
              <w:tab/>
            </w:r>
            <w:r w:rsidR="00F84044" w:rsidRPr="00C21A67">
              <w:rPr>
                <w:rStyle w:val="Hiperveza"/>
                <w:rFonts w:cstheme="majorHAnsi"/>
                <w:noProof/>
              </w:rPr>
              <w:t>UVODNA RIJEČ OPĆINSKOG NAČELNIKA</w:t>
            </w:r>
            <w:r w:rsidR="00F84044">
              <w:rPr>
                <w:noProof/>
                <w:webHidden/>
              </w:rPr>
              <w:tab/>
            </w:r>
            <w:r w:rsidR="00F84044">
              <w:rPr>
                <w:noProof/>
                <w:webHidden/>
              </w:rPr>
              <w:fldChar w:fldCharType="begin"/>
            </w:r>
            <w:r w:rsidR="00F84044">
              <w:rPr>
                <w:noProof/>
                <w:webHidden/>
              </w:rPr>
              <w:instrText xml:space="preserve"> PAGEREF _Toc119410802 \h </w:instrText>
            </w:r>
            <w:r w:rsidR="00F84044">
              <w:rPr>
                <w:noProof/>
                <w:webHidden/>
              </w:rPr>
            </w:r>
            <w:r w:rsidR="00F84044">
              <w:rPr>
                <w:noProof/>
                <w:webHidden/>
              </w:rPr>
              <w:fldChar w:fldCharType="separate"/>
            </w:r>
            <w:r w:rsidR="00F84044">
              <w:rPr>
                <w:noProof/>
                <w:webHidden/>
              </w:rPr>
              <w:t>2</w:t>
            </w:r>
            <w:r w:rsidR="00F84044"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</w:rPr>
          </w:pPr>
          <w:hyperlink w:anchor="_Toc119410803" w:history="1">
            <w:r w:rsidRPr="00C21A67">
              <w:rPr>
                <w:rStyle w:val="Hiperveza"/>
                <w:rFonts w:cstheme="majorHAnsi"/>
                <w:bCs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cstheme="majorHAnsi"/>
                <w:bCs/>
                <w:noProof/>
              </w:rPr>
              <w:t>OPĆENITO O PRORAČUNU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</w:rPr>
          </w:pPr>
          <w:hyperlink w:anchor="_Toc119410804" w:history="1">
            <w:r w:rsidRPr="00C21A67">
              <w:rPr>
                <w:rStyle w:val="Hiperveza"/>
                <w:rFonts w:cstheme="majorHAnsi"/>
                <w:noProof/>
              </w:rPr>
              <w:t>3.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cstheme="majorHAnsi"/>
                <w:noProof/>
              </w:rPr>
              <w:t xml:space="preserve">Temeljni makroekonomski pokazatelji za razdoblje 2023.-2025.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</w:rPr>
          </w:pPr>
          <w:hyperlink w:anchor="_Toc119410805" w:history="1">
            <w:r w:rsidRPr="00C21A67">
              <w:rPr>
                <w:rStyle w:val="Hiperveza"/>
                <w:rFonts w:cstheme="majorHAnsi"/>
                <w:noProof/>
              </w:rPr>
              <w:t>4.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cstheme="majorHAnsi"/>
                <w:noProof/>
              </w:rPr>
              <w:t>O novoj službenoj valuti od 01.01.2023.godine, EURO (€)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</w:rPr>
          </w:pPr>
          <w:hyperlink w:anchor="_Toc119410806" w:history="1">
            <w:r w:rsidRPr="00C21A67">
              <w:rPr>
                <w:rStyle w:val="Hiperveza"/>
                <w:rFonts w:cstheme="majorHAnsi"/>
                <w:noProof/>
              </w:rPr>
              <w:t>5.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cstheme="majorHAnsi"/>
                <w:noProof/>
              </w:rPr>
              <w:t>Ciljevi Proračuna Općine Gornja Vrba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</w:rPr>
          </w:pPr>
          <w:hyperlink w:anchor="_Toc119410807" w:history="1">
            <w:r w:rsidRPr="00C21A67">
              <w:rPr>
                <w:rStyle w:val="Hiperveza"/>
                <w:rFonts w:cstheme="majorHAnsi"/>
                <w:noProof/>
              </w:rPr>
              <w:t>6.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cstheme="majorHAnsi"/>
                <w:noProof/>
              </w:rPr>
              <w:t>PRORAČUN OPĆINE GORNJA VRBA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</w:rPr>
          </w:pPr>
          <w:hyperlink w:anchor="_Toc119410808" w:history="1">
            <w:r w:rsidRPr="00C21A67">
              <w:rPr>
                <w:rStyle w:val="Hiperveza"/>
                <w:rFonts w:cstheme="majorHAnsi"/>
                <w:noProof/>
              </w:rPr>
              <w:t>7.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cstheme="majorHAnsi"/>
                <w:noProof/>
              </w:rPr>
              <w:t>STRUKTURA PRIHODA I PRIMITAKA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2"/>
            <w:tabs>
              <w:tab w:val="left" w:pos="880"/>
              <w:tab w:val="right" w:leader="dot" w:pos="9015"/>
            </w:tabs>
            <w:rPr>
              <w:rFonts w:cstheme="minorBidi"/>
              <w:noProof/>
            </w:rPr>
          </w:pPr>
          <w:hyperlink w:anchor="_Toc119410809" w:history="1">
            <w:r w:rsidRPr="00C21A67">
              <w:rPr>
                <w:rStyle w:val="Hiperveza"/>
                <w:rFonts w:asciiTheme="majorHAnsi" w:hAnsiTheme="majorHAnsi" w:cstheme="majorHAnsi"/>
                <w:b/>
                <w:noProof/>
              </w:rPr>
              <w:t>7.1.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asciiTheme="majorHAnsi" w:hAnsiTheme="majorHAnsi" w:cstheme="majorHAnsi"/>
                <w:b/>
                <w:noProof/>
              </w:rPr>
              <w:t>Prihodi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2"/>
            <w:tabs>
              <w:tab w:val="left" w:pos="880"/>
              <w:tab w:val="right" w:leader="dot" w:pos="9015"/>
            </w:tabs>
            <w:rPr>
              <w:rFonts w:cstheme="minorBidi"/>
              <w:noProof/>
            </w:rPr>
          </w:pPr>
          <w:hyperlink w:anchor="_Toc119410810" w:history="1">
            <w:r w:rsidRPr="00C21A67">
              <w:rPr>
                <w:rStyle w:val="Hiperveza"/>
                <w:rFonts w:asciiTheme="majorHAnsi" w:hAnsiTheme="majorHAnsi" w:cstheme="majorHAnsi"/>
                <w:b/>
                <w:noProof/>
              </w:rPr>
              <w:t>7.2.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asciiTheme="majorHAnsi" w:hAnsiTheme="majorHAnsi" w:cstheme="majorHAnsi"/>
                <w:b/>
                <w:noProof/>
              </w:rPr>
              <w:t>Prihodi od prodaje nefinancijske imovine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2"/>
            <w:tabs>
              <w:tab w:val="left" w:pos="880"/>
              <w:tab w:val="right" w:leader="dot" w:pos="9015"/>
            </w:tabs>
            <w:rPr>
              <w:rFonts w:cstheme="minorBidi"/>
              <w:noProof/>
            </w:rPr>
          </w:pPr>
          <w:hyperlink w:anchor="_Toc119410811" w:history="1">
            <w:r w:rsidRPr="00C21A67">
              <w:rPr>
                <w:rStyle w:val="Hiperveza"/>
                <w:rFonts w:asciiTheme="majorHAnsi" w:hAnsiTheme="majorHAnsi" w:cstheme="majorHAnsi"/>
                <w:b/>
                <w:noProof/>
              </w:rPr>
              <w:t>7.3.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asciiTheme="majorHAnsi" w:hAnsiTheme="majorHAnsi" w:cstheme="majorHAnsi"/>
                <w:b/>
                <w:noProof/>
              </w:rPr>
              <w:t>Raspoloživa sredstva iz prethodnog razdoblja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</w:rPr>
          </w:pPr>
          <w:hyperlink w:anchor="_Toc119410812" w:history="1">
            <w:r w:rsidRPr="00C21A67">
              <w:rPr>
                <w:rStyle w:val="Hiperveza"/>
                <w:rFonts w:cstheme="majorHAnsi"/>
                <w:noProof/>
              </w:rPr>
              <w:t>8.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cstheme="majorHAnsi"/>
                <w:noProof/>
              </w:rPr>
              <w:t>STRUKTURA RASHODA I IZDRATAKA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2"/>
            <w:tabs>
              <w:tab w:val="left" w:pos="880"/>
              <w:tab w:val="right" w:leader="dot" w:pos="9015"/>
            </w:tabs>
            <w:rPr>
              <w:rFonts w:cstheme="minorBidi"/>
              <w:noProof/>
            </w:rPr>
          </w:pPr>
          <w:hyperlink w:anchor="_Toc119410813" w:history="1">
            <w:r w:rsidRPr="00C21A67">
              <w:rPr>
                <w:rStyle w:val="Hiperveza"/>
                <w:rFonts w:asciiTheme="majorHAnsi" w:hAnsiTheme="majorHAnsi" w:cstheme="majorHAnsi"/>
                <w:b/>
                <w:noProof/>
              </w:rPr>
              <w:t>8.1.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asciiTheme="majorHAnsi" w:hAnsiTheme="majorHAnsi" w:cstheme="majorHAnsi"/>
                <w:b/>
                <w:noProof/>
              </w:rPr>
              <w:t>Rashodi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2"/>
            <w:tabs>
              <w:tab w:val="left" w:pos="880"/>
              <w:tab w:val="right" w:leader="dot" w:pos="9015"/>
            </w:tabs>
            <w:rPr>
              <w:rFonts w:cstheme="minorBidi"/>
              <w:noProof/>
            </w:rPr>
          </w:pPr>
          <w:hyperlink w:anchor="_Toc119410814" w:history="1">
            <w:r w:rsidRPr="00C21A67">
              <w:rPr>
                <w:rStyle w:val="Hiperveza"/>
                <w:rFonts w:cstheme="majorHAnsi"/>
                <w:b/>
                <w:noProof/>
              </w:rPr>
              <w:t>8.2.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cstheme="majorHAnsi"/>
                <w:b/>
                <w:noProof/>
              </w:rPr>
              <w:t>Rashodi za nabavu nefinancijske imovine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1"/>
            <w:tabs>
              <w:tab w:val="left" w:pos="440"/>
              <w:tab w:val="right" w:leader="dot" w:pos="9015"/>
            </w:tabs>
            <w:rPr>
              <w:rFonts w:cstheme="minorBidi"/>
              <w:noProof/>
            </w:rPr>
          </w:pPr>
          <w:hyperlink w:anchor="_Toc119410815" w:history="1">
            <w:r w:rsidRPr="00C21A67">
              <w:rPr>
                <w:rStyle w:val="Hiperveza"/>
                <w:rFonts w:cstheme="majorHAnsi"/>
                <w:noProof/>
              </w:rPr>
              <w:t>9.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cstheme="majorHAnsi"/>
                <w:noProof/>
              </w:rPr>
              <w:t>Obrazloženje planiranih rashoda za 2023.god. – POSEBNI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1"/>
            <w:tabs>
              <w:tab w:val="left" w:pos="660"/>
              <w:tab w:val="right" w:leader="dot" w:pos="9015"/>
            </w:tabs>
            <w:rPr>
              <w:rFonts w:cstheme="minorBidi"/>
              <w:noProof/>
            </w:rPr>
          </w:pPr>
          <w:hyperlink w:anchor="_Toc119410816" w:history="1">
            <w:r w:rsidRPr="00C21A67">
              <w:rPr>
                <w:rStyle w:val="Hiperveza"/>
                <w:rFonts w:cstheme="majorHAnsi"/>
                <w:noProof/>
              </w:rPr>
              <w:t>10.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cstheme="majorHAnsi"/>
                <w:noProof/>
              </w:rPr>
              <w:t>ZAKLJUČAK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044" w:rsidRDefault="00F84044">
          <w:pPr>
            <w:pStyle w:val="Sadraj1"/>
            <w:tabs>
              <w:tab w:val="left" w:pos="660"/>
              <w:tab w:val="right" w:leader="dot" w:pos="9015"/>
            </w:tabs>
            <w:rPr>
              <w:rFonts w:cstheme="minorBidi"/>
              <w:noProof/>
            </w:rPr>
          </w:pPr>
          <w:hyperlink w:anchor="_Toc119410817" w:history="1">
            <w:r w:rsidRPr="00C21A67">
              <w:rPr>
                <w:rStyle w:val="Hiperveza"/>
                <w:rFonts w:cstheme="majorHAnsi"/>
                <w:noProof/>
              </w:rPr>
              <w:t>11.</w:t>
            </w:r>
            <w:r>
              <w:rPr>
                <w:rFonts w:cstheme="minorBidi"/>
                <w:noProof/>
              </w:rPr>
              <w:tab/>
            </w:r>
            <w:r w:rsidRPr="00C21A67">
              <w:rPr>
                <w:rStyle w:val="Hiperveza"/>
                <w:rFonts w:cstheme="majorHAnsi"/>
                <w:noProof/>
              </w:rPr>
              <w:t>KONTAKTI I KORISNE INFORMACIJE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_Toc119410817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3629" w:rsidRPr="00460C97" w:rsidRDefault="00553629">
          <w:pPr>
            <w:rPr>
              <w:rFonts w:asciiTheme="majorHAnsi" w:hAnsiTheme="majorHAnsi" w:cstheme="majorHAnsi"/>
            </w:rPr>
          </w:pPr>
          <w:r w:rsidRPr="00460C97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:rsidR="00B412C6" w:rsidRPr="00460C97" w:rsidRDefault="00B412C6" w:rsidP="00B412C6">
      <w:pPr>
        <w:jc w:val="both"/>
        <w:rPr>
          <w:rFonts w:asciiTheme="majorHAnsi" w:hAnsiTheme="majorHAnsi" w:cstheme="majorHAnsi"/>
          <w:b/>
          <w:sz w:val="28"/>
          <w:szCs w:val="24"/>
          <w:lang w:val="hr-HR"/>
        </w:rPr>
      </w:pPr>
    </w:p>
    <w:p w:rsidR="0046577D" w:rsidRPr="00460C97" w:rsidRDefault="0046577D" w:rsidP="0046577D">
      <w:pPr>
        <w:rPr>
          <w:rFonts w:asciiTheme="majorHAnsi" w:hAnsiTheme="majorHAnsi" w:cstheme="majorHAnsi"/>
          <w:highlight w:val="yellow"/>
          <w:lang w:val="hr-HR"/>
        </w:rPr>
      </w:pPr>
    </w:p>
    <w:p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9B2E6F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460C97" w:rsidRDefault="00460C97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460C97" w:rsidRDefault="00460C97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460C97" w:rsidRPr="00460C97" w:rsidRDefault="00460C97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9B2E6F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F84044" w:rsidRPr="00460C97" w:rsidRDefault="00F84044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9B2E6F" w:rsidRPr="00460C97" w:rsidRDefault="009B2E6F" w:rsidP="00F239F1">
      <w:pPr>
        <w:rPr>
          <w:rFonts w:asciiTheme="majorHAnsi" w:hAnsiTheme="majorHAnsi" w:cstheme="majorHAnsi"/>
          <w:b/>
          <w:iCs/>
          <w:color w:val="9BBB59"/>
          <w:sz w:val="28"/>
          <w:szCs w:val="28"/>
          <w:highlight w:val="yellow"/>
          <w:lang w:val="hr-HR"/>
        </w:rPr>
      </w:pPr>
    </w:p>
    <w:p w:rsidR="00E410D0" w:rsidRPr="00460C97" w:rsidRDefault="00E410D0" w:rsidP="00E410D0">
      <w:pPr>
        <w:pStyle w:val="Naslov"/>
        <w:numPr>
          <w:ilvl w:val="0"/>
          <w:numId w:val="23"/>
        </w:numPr>
        <w:ind w:left="426"/>
        <w:outlineLvl w:val="0"/>
        <w:rPr>
          <w:rFonts w:cstheme="majorHAnsi"/>
          <w:lang w:val="hr-HR"/>
        </w:rPr>
      </w:pPr>
      <w:bookmarkStart w:id="0" w:name="_Toc119410802"/>
      <w:r w:rsidRPr="00460C97">
        <w:rPr>
          <w:rFonts w:cstheme="majorHAnsi"/>
          <w:lang w:val="hr-HR"/>
        </w:rPr>
        <w:lastRenderedPageBreak/>
        <w:t>UVODNA RIJEČ OPĆINSKOG NAČELNIKA</w:t>
      </w:r>
      <w:bookmarkEnd w:id="0"/>
    </w:p>
    <w:p w:rsidR="00E410D0" w:rsidRPr="00460C97" w:rsidRDefault="00E410D0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D7681">
      <w:pPr>
        <w:jc w:val="both"/>
        <w:rPr>
          <w:rFonts w:asciiTheme="majorHAnsi" w:hAnsiTheme="majorHAnsi" w:cstheme="majorHAnsi"/>
          <w:sz w:val="28"/>
          <w:szCs w:val="28"/>
          <w:lang w:val="hr-HR"/>
        </w:rPr>
      </w:pPr>
    </w:p>
    <w:p w:rsidR="00ED7681" w:rsidRPr="00460C97" w:rsidRDefault="00ED7681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</w:p>
    <w:p w:rsidR="00E410D0" w:rsidRPr="00460C97" w:rsidRDefault="00E410D0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Dragi mještani Općine Gornja Vrba,</w:t>
      </w:r>
    </w:p>
    <w:p w:rsidR="00E410D0" w:rsidRPr="00460C97" w:rsidRDefault="00E410D0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</w:p>
    <w:p w:rsidR="00E410D0" w:rsidRPr="00460C97" w:rsidRDefault="00ED7681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p</w:t>
      </w:r>
      <w:r w:rsidR="00E410D0"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redstavljamo Vam</w:t>
      </w: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 xml:space="preserve"> </w:t>
      </w:r>
      <w:r w:rsidR="00E410D0"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 xml:space="preserve">Vodič za građane </w:t>
      </w: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 xml:space="preserve">Proračuna </w:t>
      </w:r>
      <w:r w:rsidR="00E410D0"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Općine Gornja Vrba</w:t>
      </w: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 xml:space="preserve"> za 2023.godinu</w:t>
      </w:r>
      <w:r w:rsidR="00E410D0"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. U njemu je prikazano na koji način Općina Gornja Vrba prikuplja sredstva, te na koji način ta sredstva investira,</w:t>
      </w: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 xml:space="preserve"> </w:t>
      </w:r>
      <w:r w:rsidR="00E410D0"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 xml:space="preserve">kako bi </w:t>
      </w: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naš rad učinili što transparentnijim.</w:t>
      </w:r>
    </w:p>
    <w:p w:rsidR="00ED7681" w:rsidRPr="00460C97" w:rsidRDefault="00ED7681" w:rsidP="00ED7681">
      <w:pPr>
        <w:jc w:val="both"/>
        <w:rPr>
          <w:rFonts w:asciiTheme="majorHAnsi" w:hAnsiTheme="majorHAnsi" w:cstheme="majorHAnsi"/>
          <w:i/>
          <w:iCs/>
          <w:sz w:val="22"/>
          <w:szCs w:val="22"/>
          <w:lang w:val="hr-HR"/>
        </w:rPr>
      </w:pPr>
    </w:p>
    <w:p w:rsidR="00E410D0" w:rsidRPr="00460C97" w:rsidRDefault="00E410D0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Svrha ovog Vodiča, osim povećanja transparentnosti rada Općine i informiranja mještana o načinu raspolaganja javnim sredstvima, je i povećanje interesa javnosti za općinske aktivnosti i projekte, te u konačnici i njenoj već</w:t>
      </w:r>
      <w:r w:rsidR="00ED7681"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o</w:t>
      </w: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j uključenosti u proračunski proces Općine Gornja Vrba.</w:t>
      </w:r>
    </w:p>
    <w:p w:rsidR="00ED7681" w:rsidRPr="00460C97" w:rsidRDefault="00ED7681" w:rsidP="00ED7681">
      <w:pPr>
        <w:jc w:val="both"/>
        <w:rPr>
          <w:rFonts w:asciiTheme="majorHAnsi" w:hAnsiTheme="majorHAnsi" w:cstheme="majorHAnsi"/>
          <w:i/>
          <w:iCs/>
          <w:sz w:val="22"/>
          <w:szCs w:val="22"/>
          <w:lang w:val="hr-HR"/>
        </w:rPr>
      </w:pPr>
    </w:p>
    <w:p w:rsidR="00E410D0" w:rsidRPr="00460C97" w:rsidRDefault="00E410D0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Ovaj dokument je namijenjen Vama</w:t>
      </w:r>
      <w:r w:rsidR="00ED7681"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, a mi smo na raspolaganju za sve Vaše prijedloge i sugestije.</w:t>
      </w:r>
    </w:p>
    <w:p w:rsidR="00ED7681" w:rsidRPr="00460C97" w:rsidRDefault="00ED7681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</w:p>
    <w:p w:rsidR="00ED7681" w:rsidRPr="00460C97" w:rsidRDefault="00ED7681" w:rsidP="00ED7681">
      <w:pPr>
        <w:jc w:val="both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</w:p>
    <w:p w:rsidR="00ED7681" w:rsidRPr="00460C97" w:rsidRDefault="00ED7681" w:rsidP="00ED7681">
      <w:pPr>
        <w:jc w:val="right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Vaš načelnik,</w:t>
      </w:r>
    </w:p>
    <w:p w:rsidR="00ED7681" w:rsidRPr="00460C97" w:rsidRDefault="00ED7681" w:rsidP="00ED7681">
      <w:pPr>
        <w:jc w:val="right"/>
        <w:rPr>
          <w:rFonts w:asciiTheme="majorHAnsi" w:hAnsiTheme="majorHAnsi" w:cstheme="majorHAnsi"/>
          <w:i/>
          <w:iCs/>
          <w:sz w:val="28"/>
          <w:szCs w:val="28"/>
          <w:lang w:val="hr-HR"/>
        </w:rPr>
      </w:pPr>
      <w:r w:rsidRPr="00460C97">
        <w:rPr>
          <w:rFonts w:asciiTheme="majorHAnsi" w:hAnsiTheme="majorHAnsi" w:cstheme="majorHAnsi"/>
          <w:i/>
          <w:iCs/>
          <w:sz w:val="28"/>
          <w:szCs w:val="28"/>
          <w:lang w:val="hr-HR"/>
        </w:rPr>
        <w:t>Ivan Vuleta</w:t>
      </w:r>
    </w:p>
    <w:p w:rsidR="00E410D0" w:rsidRPr="00460C97" w:rsidRDefault="00E410D0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D7681" w:rsidRDefault="00ED7681" w:rsidP="00E410D0">
      <w:pPr>
        <w:rPr>
          <w:rFonts w:asciiTheme="majorHAnsi" w:hAnsiTheme="majorHAnsi" w:cstheme="majorHAnsi"/>
          <w:lang w:val="hr-HR"/>
        </w:rPr>
      </w:pPr>
    </w:p>
    <w:p w:rsidR="00F84044" w:rsidRDefault="00F84044" w:rsidP="00E410D0">
      <w:pPr>
        <w:rPr>
          <w:rFonts w:asciiTheme="majorHAnsi" w:hAnsiTheme="majorHAnsi" w:cstheme="majorHAnsi"/>
          <w:lang w:val="hr-HR"/>
        </w:rPr>
      </w:pPr>
    </w:p>
    <w:p w:rsidR="00F84044" w:rsidRPr="00460C97" w:rsidRDefault="00F84044" w:rsidP="00E410D0">
      <w:pPr>
        <w:rPr>
          <w:rFonts w:asciiTheme="majorHAnsi" w:hAnsiTheme="majorHAnsi" w:cstheme="majorHAnsi"/>
          <w:lang w:val="hr-HR"/>
        </w:rPr>
      </w:pPr>
    </w:p>
    <w:p w:rsidR="00ED7681" w:rsidRPr="00460C97" w:rsidRDefault="00ED7681" w:rsidP="00E410D0">
      <w:pPr>
        <w:rPr>
          <w:rFonts w:asciiTheme="majorHAnsi" w:hAnsiTheme="majorHAnsi" w:cstheme="majorHAnsi"/>
          <w:lang w:val="hr-HR"/>
        </w:rPr>
      </w:pPr>
    </w:p>
    <w:p w:rsidR="00E410D0" w:rsidRPr="00460C97" w:rsidRDefault="00E410D0" w:rsidP="00E410D0">
      <w:pPr>
        <w:rPr>
          <w:rFonts w:asciiTheme="majorHAnsi" w:hAnsiTheme="majorHAnsi" w:cstheme="majorHAnsi"/>
          <w:lang w:val="hr-HR"/>
        </w:rPr>
      </w:pPr>
    </w:p>
    <w:p w:rsidR="00DE4668" w:rsidRPr="00460C97" w:rsidRDefault="00ED7681" w:rsidP="0087615D">
      <w:pPr>
        <w:pStyle w:val="Naslov"/>
        <w:numPr>
          <w:ilvl w:val="0"/>
          <w:numId w:val="23"/>
        </w:numPr>
        <w:ind w:left="426"/>
        <w:outlineLvl w:val="0"/>
        <w:rPr>
          <w:rFonts w:cstheme="majorHAnsi"/>
          <w:bCs/>
          <w:lang w:val="hr-HR"/>
        </w:rPr>
      </w:pPr>
      <w:bookmarkStart w:id="1" w:name="_Toc119410803"/>
      <w:r w:rsidRPr="00460C97">
        <w:rPr>
          <w:rFonts w:cstheme="majorHAnsi"/>
          <w:bCs/>
          <w:lang w:val="hr-HR"/>
        </w:rPr>
        <w:lastRenderedPageBreak/>
        <w:t xml:space="preserve">OPĆENITO </w:t>
      </w:r>
      <w:r w:rsidR="00E410D0" w:rsidRPr="00460C97">
        <w:rPr>
          <w:rFonts w:cstheme="majorHAnsi"/>
          <w:bCs/>
          <w:lang w:val="hr-HR"/>
        </w:rPr>
        <w:t>O PRORAČUNU</w:t>
      </w:r>
      <w:bookmarkEnd w:id="1"/>
    </w:p>
    <w:p w:rsidR="00312A40" w:rsidRPr="00460C97" w:rsidRDefault="00312A40" w:rsidP="00FF0F19">
      <w:pPr>
        <w:jc w:val="both"/>
        <w:rPr>
          <w:rFonts w:asciiTheme="majorHAnsi" w:hAnsiTheme="majorHAnsi" w:cstheme="majorHAnsi"/>
          <w:b/>
          <w:szCs w:val="18"/>
          <w:highlight w:val="yellow"/>
          <w:lang w:val="hr-HR"/>
        </w:rPr>
      </w:pPr>
    </w:p>
    <w:p w:rsidR="00F239F1" w:rsidRPr="00460C97" w:rsidRDefault="00F239F1" w:rsidP="00FF0F19">
      <w:pPr>
        <w:jc w:val="both"/>
        <w:rPr>
          <w:rFonts w:asciiTheme="majorHAnsi" w:hAnsiTheme="majorHAnsi" w:cstheme="majorHAnsi"/>
          <w:b/>
          <w:szCs w:val="18"/>
          <w:highlight w:val="yellow"/>
          <w:lang w:val="hr-HR"/>
        </w:rPr>
      </w:pPr>
    </w:p>
    <w:p w:rsidR="00CD5CA8" w:rsidRPr="00460C97" w:rsidRDefault="00CD5CA8" w:rsidP="00FF0F19">
      <w:pPr>
        <w:jc w:val="both"/>
        <w:rPr>
          <w:rFonts w:asciiTheme="majorHAnsi" w:hAnsiTheme="majorHAnsi" w:cstheme="majorHAnsi"/>
          <w:b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b/>
          <w:sz w:val="28"/>
          <w:szCs w:val="24"/>
          <w:lang w:val="hr-HR"/>
        </w:rPr>
        <w:t>Što je proračun?</w:t>
      </w:r>
    </w:p>
    <w:p w:rsidR="00F239F1" w:rsidRPr="00460C97" w:rsidRDefault="00F239F1" w:rsidP="00FF0F19">
      <w:pPr>
        <w:jc w:val="both"/>
        <w:rPr>
          <w:rFonts w:asciiTheme="majorHAnsi" w:hAnsiTheme="majorHAnsi" w:cstheme="majorHAnsi"/>
          <w:b/>
          <w:szCs w:val="18"/>
          <w:lang w:val="hr-HR"/>
        </w:rPr>
      </w:pPr>
    </w:p>
    <w:p w:rsidR="00CD5CA8" w:rsidRPr="00460C97" w:rsidRDefault="00CD5CA8" w:rsidP="007D77E8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>Proračun je jedan od najvažnijih dokumenata k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>oji se donosi na razini jedinice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lokalne</w:t>
      </w:r>
      <w:r w:rsidR="00B123AF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>i</w:t>
      </w:r>
      <w:r w:rsidR="00B123AF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područne (regionalne) samouprave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 (JLP(R)S).</w:t>
      </w:r>
    </w:p>
    <w:p w:rsidR="00CD5CA8" w:rsidRPr="00460C97" w:rsidRDefault="00CD5CA8" w:rsidP="009A6ACE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>Proračun je akt kojim se procjenjuju prihod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i </w:t>
      </w:r>
      <w:r w:rsidR="00DE7F2F" w:rsidRPr="00460C97">
        <w:rPr>
          <w:rFonts w:asciiTheme="majorHAnsi" w:hAnsiTheme="majorHAnsi" w:cstheme="majorHAnsi"/>
          <w:sz w:val="28"/>
          <w:szCs w:val="24"/>
          <w:lang w:val="hr-HR"/>
        </w:rPr>
        <w:t>i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primici te utvrđuju rashodi i izdaci 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>JLP(R)S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za proračunsku godinu. Sadrži 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>i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projekciju prihoda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i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primitaka te rashoda 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>i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izdataka za dvije godine unaprijed.</w:t>
      </w:r>
      <w:r w:rsidR="009A6ACE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>Propis kojim su regulirana sva pitanja vezana uz proračun je Zakon o proračunu (</w:t>
      </w:r>
      <w:r w:rsidR="006E339B" w:rsidRPr="00460C97">
        <w:rPr>
          <w:rFonts w:asciiTheme="majorHAnsi" w:hAnsiTheme="majorHAnsi" w:cstheme="majorHAnsi"/>
          <w:sz w:val="28"/>
          <w:szCs w:val="24"/>
          <w:lang w:val="hr-HR"/>
        </w:rPr>
        <w:t>„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>Narodne novine</w:t>
      </w:r>
      <w:r w:rsidR="006E339B" w:rsidRPr="00460C97">
        <w:rPr>
          <w:rFonts w:asciiTheme="majorHAnsi" w:hAnsiTheme="majorHAnsi" w:cstheme="majorHAnsi"/>
          <w:sz w:val="28"/>
          <w:szCs w:val="24"/>
          <w:lang w:val="hr-HR"/>
        </w:rPr>
        <w:t>“ br</w:t>
      </w:r>
      <w:r w:rsidR="0067222D" w:rsidRPr="00460C97">
        <w:rPr>
          <w:rFonts w:asciiTheme="majorHAnsi" w:hAnsiTheme="majorHAnsi" w:cstheme="majorHAnsi"/>
          <w:sz w:val="28"/>
          <w:szCs w:val="24"/>
          <w:lang w:val="hr-HR"/>
        </w:rPr>
        <w:t>.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67222D" w:rsidRPr="00460C97">
        <w:rPr>
          <w:rFonts w:asciiTheme="majorHAnsi" w:hAnsiTheme="majorHAnsi" w:cstheme="majorHAnsi"/>
          <w:sz w:val="28"/>
          <w:szCs w:val="24"/>
          <w:lang w:val="hr-HR"/>
        </w:rPr>
        <w:t>144/21</w:t>
      </w:r>
      <w:r w:rsidR="00B123AF" w:rsidRPr="00460C97">
        <w:rPr>
          <w:rFonts w:asciiTheme="majorHAnsi" w:hAnsiTheme="majorHAnsi" w:cstheme="majorHAnsi"/>
          <w:sz w:val="28"/>
          <w:szCs w:val="24"/>
          <w:lang w:val="hr-HR"/>
        </w:rPr>
        <w:t>).</w:t>
      </w:r>
    </w:p>
    <w:p w:rsidR="00B123AF" w:rsidRPr="00460C97" w:rsidRDefault="00B123AF" w:rsidP="00FF0F19">
      <w:pPr>
        <w:jc w:val="both"/>
        <w:rPr>
          <w:rFonts w:asciiTheme="majorHAnsi" w:hAnsiTheme="majorHAnsi" w:cstheme="majorHAnsi"/>
          <w:b/>
          <w:sz w:val="28"/>
          <w:szCs w:val="24"/>
          <w:highlight w:val="yellow"/>
          <w:lang w:val="hr-HR"/>
        </w:rPr>
      </w:pPr>
    </w:p>
    <w:p w:rsidR="00B123AF" w:rsidRPr="00460C97" w:rsidRDefault="00B123AF" w:rsidP="00FF0F19">
      <w:pPr>
        <w:jc w:val="both"/>
        <w:rPr>
          <w:rFonts w:asciiTheme="majorHAnsi" w:hAnsiTheme="majorHAnsi" w:cstheme="majorHAnsi"/>
          <w:b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b/>
          <w:sz w:val="28"/>
          <w:szCs w:val="24"/>
          <w:lang w:val="hr-HR"/>
        </w:rPr>
        <w:t>Kako se donosi proračun?</w:t>
      </w:r>
    </w:p>
    <w:p w:rsidR="00F239F1" w:rsidRPr="00460C97" w:rsidRDefault="00F239F1" w:rsidP="00FF0F19">
      <w:pPr>
        <w:jc w:val="both"/>
        <w:rPr>
          <w:rFonts w:asciiTheme="majorHAnsi" w:hAnsiTheme="majorHAnsi" w:cstheme="majorHAnsi"/>
          <w:b/>
          <w:szCs w:val="18"/>
          <w:lang w:val="hr-HR"/>
        </w:rPr>
      </w:pPr>
    </w:p>
    <w:p w:rsidR="006E339B" w:rsidRPr="00460C97" w:rsidRDefault="00B123AF" w:rsidP="006E339B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>Proračun donosi preds</w:t>
      </w:r>
      <w:r w:rsidR="00B94E2C" w:rsidRPr="00460C97">
        <w:rPr>
          <w:rFonts w:asciiTheme="majorHAnsi" w:hAnsiTheme="majorHAnsi" w:cstheme="majorHAnsi"/>
          <w:sz w:val="28"/>
          <w:szCs w:val="24"/>
          <w:lang w:val="hr-HR"/>
        </w:rPr>
        <w:t>tavničko tijelo JLP(R)S odnosno Općinsko vijeće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najkasnije do konca tekuće godine za iduću godinu prema prijedlogu kojega utvrđuje</w:t>
      </w:r>
      <w:r w:rsidR="006E339B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Općinski</w:t>
      </w:r>
      <w:r w:rsidR="00FF0F1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načelnik</w:t>
      </w:r>
      <w:r w:rsidR="0056223A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. </w:t>
      </w:r>
      <w:r w:rsidR="006E339B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Prijedlog proračuna i projekcija Općinski načelnik podnosi Općinskom vijeću na donošenje do 15. studenog tekuće godine. </w:t>
      </w:r>
    </w:p>
    <w:p w:rsidR="006E339B" w:rsidRPr="00460C97" w:rsidRDefault="006E339B" w:rsidP="006E339B">
      <w:pPr>
        <w:pStyle w:val="Default"/>
        <w:ind w:firstLine="720"/>
        <w:jc w:val="both"/>
        <w:rPr>
          <w:rFonts w:asciiTheme="majorHAnsi" w:hAnsiTheme="majorHAnsi" w:cstheme="majorHAnsi"/>
          <w:sz w:val="28"/>
        </w:rPr>
      </w:pPr>
      <w:r w:rsidRPr="00460C97">
        <w:rPr>
          <w:rFonts w:asciiTheme="majorHAnsi" w:hAnsiTheme="majorHAnsi" w:cstheme="majorHAnsi"/>
          <w:sz w:val="28"/>
        </w:rPr>
        <w:t>Proračun se, nakon donošenja</w:t>
      </w:r>
      <w:r w:rsidR="00F239F1" w:rsidRPr="00460C97">
        <w:rPr>
          <w:rFonts w:asciiTheme="majorHAnsi" w:hAnsiTheme="majorHAnsi" w:cstheme="majorHAnsi"/>
          <w:sz w:val="28"/>
        </w:rPr>
        <w:t>, dostavlja Ministarstvu financija,</w:t>
      </w:r>
      <w:r w:rsidRPr="00460C97">
        <w:rPr>
          <w:rFonts w:asciiTheme="majorHAnsi" w:hAnsiTheme="majorHAnsi" w:cstheme="majorHAnsi"/>
          <w:sz w:val="28"/>
        </w:rPr>
        <w:t xml:space="preserve"> objavljuje u „</w:t>
      </w:r>
      <w:r w:rsidR="00566807" w:rsidRPr="00460C97">
        <w:rPr>
          <w:rFonts w:asciiTheme="majorHAnsi" w:hAnsiTheme="majorHAnsi" w:cstheme="majorHAnsi"/>
          <w:sz w:val="28"/>
        </w:rPr>
        <w:t>Službenim novinama Općine Gornja Vrba</w:t>
      </w:r>
      <w:r w:rsidRPr="00460C97">
        <w:rPr>
          <w:rFonts w:asciiTheme="majorHAnsi" w:hAnsiTheme="majorHAnsi" w:cstheme="majorHAnsi"/>
          <w:sz w:val="28"/>
        </w:rPr>
        <w:t xml:space="preserve">“ i na službenim Internet stranicama Općine </w:t>
      </w:r>
      <w:r w:rsidR="00782393" w:rsidRPr="00460C97">
        <w:rPr>
          <w:rFonts w:asciiTheme="majorHAnsi" w:hAnsiTheme="majorHAnsi" w:cstheme="majorHAnsi"/>
          <w:sz w:val="28"/>
        </w:rPr>
        <w:t>Gornja Vrba</w:t>
      </w:r>
      <w:r w:rsidRPr="00460C97">
        <w:rPr>
          <w:rFonts w:asciiTheme="majorHAnsi" w:hAnsiTheme="majorHAnsi" w:cstheme="majorHAnsi"/>
          <w:sz w:val="28"/>
        </w:rPr>
        <w:t xml:space="preserve"> – </w:t>
      </w:r>
      <w:hyperlink r:id="rId12" w:history="1">
        <w:r w:rsidR="00782393" w:rsidRPr="00460C97">
          <w:rPr>
            <w:rStyle w:val="Hiperveza"/>
            <w:rFonts w:asciiTheme="majorHAnsi" w:hAnsiTheme="majorHAnsi" w:cstheme="majorHAnsi"/>
            <w:sz w:val="28"/>
          </w:rPr>
          <w:t>www.gornja-vrba.hr</w:t>
        </w:r>
      </w:hyperlink>
      <w:r w:rsidRPr="00460C97">
        <w:rPr>
          <w:rFonts w:asciiTheme="majorHAnsi" w:hAnsiTheme="majorHAnsi" w:cstheme="majorHAnsi"/>
          <w:sz w:val="28"/>
        </w:rPr>
        <w:t xml:space="preserve"> . </w:t>
      </w:r>
    </w:p>
    <w:p w:rsidR="00FF0F19" w:rsidRPr="00460C97" w:rsidRDefault="00FF0F19" w:rsidP="007D77E8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>Ako se proračun ne donese u roku  slijedi privre</w:t>
      </w:r>
      <w:r w:rsidR="006E339B" w:rsidRPr="00460C97">
        <w:rPr>
          <w:rFonts w:asciiTheme="majorHAnsi" w:hAnsiTheme="majorHAnsi" w:cstheme="majorHAnsi"/>
          <w:sz w:val="28"/>
          <w:szCs w:val="24"/>
          <w:lang w:val="hr-HR"/>
        </w:rPr>
        <w:t>meno financiranje, raspuštanje O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pćinskog vijeća 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>i</w:t>
      </w:r>
      <w:r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prijevremeni izbori za Općinsko vijeće.</w:t>
      </w:r>
    </w:p>
    <w:p w:rsidR="00FF0F19" w:rsidRPr="00460C97" w:rsidRDefault="00FF0F19" w:rsidP="00FF0F19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353F37" w:rsidRPr="00460C97" w:rsidRDefault="00E11A19" w:rsidP="00FF0F19">
      <w:pPr>
        <w:jc w:val="both"/>
        <w:rPr>
          <w:rFonts w:asciiTheme="majorHAnsi" w:hAnsiTheme="majorHAnsi" w:cstheme="majorHAnsi"/>
          <w:b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b/>
          <w:sz w:val="28"/>
          <w:szCs w:val="24"/>
          <w:lang w:val="hr-HR"/>
        </w:rPr>
        <w:t>Sadržaj</w:t>
      </w:r>
      <w:r w:rsidR="009C637F" w:rsidRPr="00460C97">
        <w:rPr>
          <w:rFonts w:asciiTheme="majorHAnsi" w:hAnsiTheme="majorHAnsi" w:cstheme="majorHAnsi"/>
          <w:b/>
          <w:sz w:val="28"/>
          <w:szCs w:val="24"/>
          <w:lang w:val="hr-HR"/>
        </w:rPr>
        <w:t xml:space="preserve"> </w:t>
      </w:r>
      <w:r w:rsidR="009A6ACE" w:rsidRPr="00460C97">
        <w:rPr>
          <w:rFonts w:asciiTheme="majorHAnsi" w:hAnsiTheme="majorHAnsi" w:cstheme="majorHAnsi"/>
          <w:b/>
          <w:sz w:val="28"/>
          <w:szCs w:val="24"/>
          <w:lang w:val="hr-HR"/>
        </w:rPr>
        <w:t>p</w:t>
      </w:r>
      <w:r w:rsidR="00E70E5D" w:rsidRPr="00460C97">
        <w:rPr>
          <w:rFonts w:asciiTheme="majorHAnsi" w:hAnsiTheme="majorHAnsi" w:cstheme="majorHAnsi"/>
          <w:b/>
          <w:sz w:val="28"/>
          <w:szCs w:val="24"/>
          <w:lang w:val="hr-HR"/>
        </w:rPr>
        <w:t>roračuna</w:t>
      </w:r>
    </w:p>
    <w:p w:rsidR="00F239F1" w:rsidRPr="00460C97" w:rsidRDefault="00F239F1" w:rsidP="00FF0F19">
      <w:pPr>
        <w:jc w:val="both"/>
        <w:rPr>
          <w:rFonts w:asciiTheme="majorHAnsi" w:hAnsiTheme="majorHAnsi" w:cstheme="majorHAnsi"/>
          <w:b/>
          <w:szCs w:val="18"/>
          <w:lang w:val="hr-HR"/>
        </w:rPr>
      </w:pPr>
    </w:p>
    <w:p w:rsidR="00E70E5D" w:rsidRPr="00460C97" w:rsidRDefault="00695BE7" w:rsidP="007D77E8">
      <w:pPr>
        <w:ind w:firstLine="720"/>
        <w:jc w:val="both"/>
        <w:rPr>
          <w:rFonts w:asciiTheme="majorHAnsi" w:hAnsiTheme="majorHAnsi" w:cstheme="majorHAnsi"/>
          <w:b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i/>
          <w:sz w:val="28"/>
          <w:szCs w:val="24"/>
          <w:lang w:val="hr-HR"/>
        </w:rPr>
        <w:t>Opći dio</w:t>
      </w:r>
      <w:r w:rsidR="00353F37" w:rsidRPr="00460C97">
        <w:rPr>
          <w:rFonts w:asciiTheme="majorHAnsi" w:hAnsiTheme="majorHAnsi" w:cstheme="majorHAnsi"/>
          <w:i/>
          <w:sz w:val="28"/>
          <w:szCs w:val="24"/>
          <w:lang w:val="hr-HR"/>
        </w:rPr>
        <w:t xml:space="preserve"> - </w:t>
      </w:r>
      <w:r w:rsidR="00E84744" w:rsidRPr="00460C97">
        <w:rPr>
          <w:rFonts w:asciiTheme="majorHAnsi" w:hAnsiTheme="majorHAnsi" w:cstheme="majorHAnsi"/>
          <w:sz w:val="28"/>
          <w:szCs w:val="24"/>
          <w:lang w:val="hr-HR"/>
        </w:rPr>
        <w:t>r</w:t>
      </w:r>
      <w:r w:rsidR="00E70E5D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ačun prihoda i rashoda i </w:t>
      </w:r>
      <w:r w:rsidR="00E84744" w:rsidRPr="00460C97">
        <w:rPr>
          <w:rFonts w:asciiTheme="majorHAnsi" w:hAnsiTheme="majorHAnsi" w:cstheme="majorHAnsi"/>
          <w:sz w:val="28"/>
          <w:szCs w:val="24"/>
          <w:lang w:val="hr-HR"/>
        </w:rPr>
        <w:t>r</w:t>
      </w:r>
      <w:r w:rsidR="00E70E5D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ačun financiranja 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>koji obuhvaća</w:t>
      </w:r>
      <w:r w:rsidR="00B94E2C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>prihode</w:t>
      </w:r>
      <w:r w:rsidR="0039730C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i  primitke te rashod</w:t>
      </w:r>
      <w:r w:rsidR="00E84744" w:rsidRPr="00460C97">
        <w:rPr>
          <w:rFonts w:asciiTheme="majorHAnsi" w:hAnsiTheme="majorHAnsi" w:cstheme="majorHAnsi"/>
          <w:sz w:val="28"/>
          <w:szCs w:val="24"/>
          <w:lang w:val="hr-HR"/>
        </w:rPr>
        <w:t>e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i izdatke po vrstama.</w:t>
      </w:r>
    </w:p>
    <w:p w:rsidR="005C0E07" w:rsidRPr="00460C97" w:rsidRDefault="00695BE7" w:rsidP="007D77E8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i/>
          <w:sz w:val="28"/>
          <w:szCs w:val="24"/>
          <w:lang w:val="hr-HR"/>
        </w:rPr>
        <w:t>Posebni dio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5C0E07" w:rsidRPr="00460C97">
        <w:rPr>
          <w:rFonts w:asciiTheme="majorHAnsi" w:hAnsiTheme="majorHAnsi" w:cstheme="majorHAnsi"/>
          <w:sz w:val="28"/>
          <w:szCs w:val="24"/>
          <w:lang w:val="hr-HR"/>
        </w:rPr>
        <w:t>–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5C0E07" w:rsidRPr="00460C97">
        <w:rPr>
          <w:rFonts w:asciiTheme="majorHAnsi" w:hAnsiTheme="majorHAnsi" w:cstheme="majorHAnsi"/>
          <w:sz w:val="28"/>
          <w:szCs w:val="24"/>
          <w:lang w:val="hr-HR"/>
        </w:rPr>
        <w:t>sadrži rashode i izdatke raspoređene po programima odnosno njihovim sastav</w:t>
      </w:r>
      <w:r w:rsidR="006704C1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nim dijelovima, aktivnostima i </w:t>
      </w:r>
      <w:r w:rsidR="005C0E07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projektima, a iskazani su prema ekonomskoj i funkcijskoj klasifikaciji </w:t>
      </w:r>
      <w:r w:rsidR="006D7C07" w:rsidRPr="00460C97">
        <w:rPr>
          <w:rFonts w:asciiTheme="majorHAnsi" w:hAnsiTheme="majorHAnsi" w:cstheme="majorHAnsi"/>
          <w:sz w:val="28"/>
          <w:szCs w:val="24"/>
          <w:lang w:val="hr-HR"/>
        </w:rPr>
        <w:t>te</w:t>
      </w:r>
      <w:r w:rsidR="005C0E07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izvorima financiranja potrebnim za njihovo provođenje.</w:t>
      </w:r>
      <w:r w:rsidR="00E11A1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</w:p>
    <w:p w:rsidR="00E32F8E" w:rsidRDefault="00695BE7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i/>
          <w:sz w:val="28"/>
          <w:szCs w:val="24"/>
          <w:lang w:val="hr-HR"/>
        </w:rPr>
        <w:t>Obrazloženje proračuna</w:t>
      </w:r>
      <w:r w:rsidR="00EE7AE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E84744" w:rsidRPr="00460C97">
        <w:rPr>
          <w:rFonts w:asciiTheme="majorHAnsi" w:hAnsiTheme="majorHAnsi" w:cstheme="majorHAnsi"/>
          <w:sz w:val="28"/>
          <w:szCs w:val="24"/>
          <w:lang w:val="hr-HR"/>
        </w:rPr>
        <w:t>-</w:t>
      </w:r>
      <w:r w:rsidR="00EE7AE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detaljniji opis </w:t>
      </w:r>
      <w:r w:rsidR="00353F37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programa </w:t>
      </w:r>
      <w:r w:rsidR="00B94E2C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uz navođenje općih i posebnih ciljeva koji se namjeravaju postići, </w:t>
      </w:r>
      <w:r w:rsidR="00EE7AE9" w:rsidRPr="00460C97">
        <w:rPr>
          <w:rFonts w:asciiTheme="majorHAnsi" w:hAnsiTheme="majorHAnsi" w:cstheme="majorHAnsi"/>
          <w:sz w:val="28"/>
          <w:szCs w:val="24"/>
          <w:lang w:val="hr-HR"/>
        </w:rPr>
        <w:t>zakonske osnove</w:t>
      </w:r>
      <w:r w:rsidR="00AC4276">
        <w:rPr>
          <w:rFonts w:asciiTheme="majorHAnsi" w:hAnsiTheme="majorHAnsi" w:cstheme="majorHAnsi"/>
          <w:sz w:val="28"/>
          <w:szCs w:val="24"/>
          <w:lang w:val="hr-HR"/>
        </w:rPr>
        <w:t>,</w:t>
      </w:r>
      <w:r w:rsidR="00EE7AE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te pokazatelj</w:t>
      </w:r>
      <w:r w:rsidR="00AC4276">
        <w:rPr>
          <w:rFonts w:asciiTheme="majorHAnsi" w:hAnsiTheme="majorHAnsi" w:cstheme="majorHAnsi"/>
          <w:sz w:val="28"/>
          <w:szCs w:val="24"/>
          <w:lang w:val="hr-HR"/>
        </w:rPr>
        <w:t>i</w:t>
      </w:r>
      <w:r w:rsidR="00EE7AE9" w:rsidRPr="00460C97">
        <w:rPr>
          <w:rFonts w:asciiTheme="majorHAnsi" w:hAnsiTheme="majorHAnsi" w:cstheme="majorHAnsi"/>
          <w:sz w:val="28"/>
          <w:szCs w:val="24"/>
          <w:lang w:val="hr-HR"/>
        </w:rPr>
        <w:t xml:space="preserve"> uspješnosti</w:t>
      </w:r>
      <w:r w:rsidR="00E84744" w:rsidRPr="00460C97">
        <w:rPr>
          <w:rFonts w:asciiTheme="majorHAnsi" w:hAnsiTheme="majorHAnsi" w:cstheme="majorHAnsi"/>
          <w:sz w:val="28"/>
          <w:szCs w:val="24"/>
          <w:lang w:val="hr-HR"/>
        </w:rPr>
        <w:t>.</w:t>
      </w:r>
    </w:p>
    <w:p w:rsidR="00460C97" w:rsidRDefault="00460C97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:rsidR="00460C97" w:rsidRDefault="00460C97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:rsidR="00460C97" w:rsidRDefault="00460C97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:rsidR="00460C97" w:rsidRDefault="00460C97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:rsidR="00460C97" w:rsidRDefault="00460C97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:rsidR="00B412C6" w:rsidRDefault="00B412C6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:rsidR="00A95BD6" w:rsidRPr="00460C97" w:rsidRDefault="00A95BD6" w:rsidP="00F239F1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:rsidR="00E32F8E" w:rsidRPr="00460C97" w:rsidRDefault="00E32F8E" w:rsidP="0087615D">
      <w:pPr>
        <w:pStyle w:val="Naslov"/>
        <w:numPr>
          <w:ilvl w:val="0"/>
          <w:numId w:val="23"/>
        </w:numPr>
        <w:ind w:left="426"/>
        <w:outlineLvl w:val="0"/>
        <w:rPr>
          <w:rFonts w:cstheme="majorHAnsi"/>
          <w:lang w:val="hr-HR"/>
        </w:rPr>
      </w:pPr>
      <w:bookmarkStart w:id="2" w:name="_Toc119410804"/>
      <w:r w:rsidRPr="00460C97">
        <w:rPr>
          <w:rFonts w:cstheme="majorHAnsi"/>
          <w:lang w:val="hr-HR"/>
        </w:rPr>
        <w:t>Temeljni makroekonomski pokazatelji za razdoblje 2023.-2025.</w:t>
      </w:r>
      <w:r w:rsidR="009B2E6F" w:rsidRPr="00460C97">
        <w:rPr>
          <w:rFonts w:cstheme="majorHAnsi"/>
          <w:b w:val="0"/>
          <w:lang w:val="hr-HR"/>
        </w:rPr>
        <w:t xml:space="preserve"> </w:t>
      </w:r>
      <w:r w:rsidR="009B2E6F" w:rsidRPr="00460C97">
        <w:rPr>
          <w:rStyle w:val="Referencafusnote"/>
          <w:rFonts w:cstheme="majorHAnsi"/>
          <w:b w:val="0"/>
          <w:sz w:val="28"/>
          <w:szCs w:val="24"/>
          <w:vertAlign w:val="superscript"/>
          <w:lang w:val="hr-HR"/>
        </w:rPr>
        <w:footnoteReference w:id="1"/>
      </w:r>
      <w:bookmarkEnd w:id="2"/>
    </w:p>
    <w:p w:rsidR="00E32F8E" w:rsidRPr="00460C97" w:rsidRDefault="00E32F8E" w:rsidP="00E32F8E">
      <w:pPr>
        <w:jc w:val="both"/>
        <w:rPr>
          <w:rFonts w:asciiTheme="majorHAnsi" w:hAnsiTheme="majorHAnsi" w:cstheme="majorHAnsi"/>
          <w:szCs w:val="18"/>
          <w:highlight w:val="yellow"/>
          <w:lang w:val="hr-HR"/>
        </w:rPr>
      </w:pPr>
    </w:p>
    <w:p w:rsidR="00E32F8E" w:rsidRPr="00460C97" w:rsidRDefault="00E32F8E" w:rsidP="007D77E8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>Ministarstvo financija je izradilo prijedlog, a Vlada usvojila Program konvergencije Republike Hrvatske za razdoblje 2023. – 2025. (dalje u tekstu: Program konvergencije) u travnju 2022. Na temelju Programa konvergencije Vlada je u lipnju 2022. donijela Odluku o proračunskom okviru za razdoblje 2023. – 2025.</w:t>
      </w:r>
    </w:p>
    <w:p w:rsidR="00E32F8E" w:rsidRPr="00460C97" w:rsidRDefault="00E32F8E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>Sukladno Programu konvergencije, u ovom makroekonomskom okviru očekuje se da će nakon rasta BDP-a od 3,0% u 2022., rast BDP-a opet ubrzati na 4,4% u 2023. godini. Tijekom srednjoročnog razdoblja očekuje se nastavak rasta gospodarske aktivnosti po usporavajućoj dinamici od 2,7% u 2024. te 2,5% u 2025. godini. U 2022. godini očekuje se ubrzanje inflacije potrošačkih cijena na razinu od 7,8%, koja će potom u 2023. godini usporiti na 3,7%.</w:t>
      </w:r>
    </w:p>
    <w:p w:rsidR="00E32F8E" w:rsidRPr="00460C97" w:rsidRDefault="00E32F8E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>Vezano za fiskalna kretanja kako na prihodnoj tako i na rashodnoj strani proračuna u narednom srednjoročnom razdoblju očekuje se da će rezultirati postupnim smanjenjem proračunskog manjka s 2,9% BDP-a u 2021. na 2,8% BDP-a u 2022. godini. U 2023. i 2024. godini manjak proračuna opće države predviđa se na razini od 1,6% BDP-a, a u 2025. na razini od 1,2% BDP-a. U isto vrijeme udio javnog duga u nominalnoj vrijednosti bruto domaćeg proizvoda smanjivat će se godišnje po prosječnoj stopi od 3,1 postotna boda, odnosno sa 76,2% BDP-a u 2022. na 71,7% BDP-a u 2023., 68,9% BDP-a u 2024. te na 66,9% BDP-a u 2025. godini.</w:t>
      </w:r>
    </w:p>
    <w:p w:rsidR="00F239F1" w:rsidRPr="00A95BD6" w:rsidRDefault="00E32F8E" w:rsidP="00A95BD6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>Republika Hrvatska će u sljedećem razdoblju provesti i brojne strukturne reforme uslijed čega raste potreba za modelom koji može simulirati učinke takvih reformi, a tijekom faze provedbe Nacionalnog plana oporavka i otpornosti bit će izuzetno važno osigurati adekvatno praćenje investicija i procjene njihovih makroekonomskih i fiskalnih učinaka.</w:t>
      </w:r>
    </w:p>
    <w:p w:rsidR="00460C97" w:rsidRDefault="00460C97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A95BD6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A95BD6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A95BD6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A95BD6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A95BD6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A95BD6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A95BD6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A95BD6" w:rsidRPr="00460C97" w:rsidRDefault="00A95BD6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460C97" w:rsidRPr="00460C97" w:rsidRDefault="00460C97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460C97" w:rsidRDefault="00460C97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460C97" w:rsidRPr="00460C97" w:rsidRDefault="00460C97" w:rsidP="00460C9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460C97" w:rsidRPr="00460C97" w:rsidRDefault="00460C97" w:rsidP="00460C97">
      <w:pPr>
        <w:pStyle w:val="Naslov"/>
        <w:numPr>
          <w:ilvl w:val="0"/>
          <w:numId w:val="23"/>
        </w:numPr>
        <w:ind w:left="426"/>
        <w:outlineLvl w:val="0"/>
        <w:rPr>
          <w:rFonts w:cstheme="majorHAnsi"/>
          <w:lang w:val="hr-HR"/>
        </w:rPr>
      </w:pPr>
      <w:bookmarkStart w:id="3" w:name="_Toc119410805"/>
      <w:r>
        <w:rPr>
          <w:rFonts w:cstheme="majorHAnsi"/>
          <w:lang w:val="hr-HR"/>
        </w:rPr>
        <w:t>O novoj službenoj valuti od 01.01.2023.</w:t>
      </w:r>
      <w:r w:rsidR="00034D38">
        <w:rPr>
          <w:rFonts w:cstheme="majorHAnsi"/>
          <w:lang w:val="hr-HR"/>
        </w:rPr>
        <w:t>godine</w:t>
      </w:r>
      <w:r>
        <w:rPr>
          <w:rFonts w:cstheme="majorHAnsi"/>
          <w:lang w:val="hr-HR"/>
        </w:rPr>
        <w:t xml:space="preserve">, </w:t>
      </w:r>
      <w:r w:rsidR="00034D38">
        <w:rPr>
          <w:rFonts w:cstheme="majorHAnsi"/>
          <w:lang w:val="hr-HR"/>
        </w:rPr>
        <w:t>EURO</w:t>
      </w:r>
      <w:r>
        <w:rPr>
          <w:rFonts w:cstheme="majorHAnsi"/>
          <w:lang w:val="hr-HR"/>
        </w:rPr>
        <w:t xml:space="preserve"> (€)</w:t>
      </w:r>
      <w:bookmarkEnd w:id="3"/>
    </w:p>
    <w:p w:rsidR="00460C97" w:rsidRPr="00460C97" w:rsidRDefault="00460C97" w:rsidP="00460C97">
      <w:pPr>
        <w:pStyle w:val="Odlomakpopisa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460C97" w:rsidRDefault="00460C97" w:rsidP="00460C97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>Zakon o uvođenju eura kao službene valute u Republici Hrvatskoj (Narodne novine, br. 57/22) u članku 69. propisuje da se proračuni, financijski planovi i drugi prateći dokumenti koji se u godini koja prethodi godini uvođenja eura pripremaju za razdoblja nakon dana uvođenja eura, a čija obveza sastavljanja, donošenja i objavljivanja proizlazi iz odredaba propisa kojim se uređuje sustav proračuna, sastavljaju, donose i objavljuju na način da se vrijednosti u njima iskazuju u euru.</w:t>
      </w:r>
    </w:p>
    <w:p w:rsidR="00460C97" w:rsidRPr="00460C97" w:rsidRDefault="00460C97" w:rsidP="00460C97">
      <w:pPr>
        <w:ind w:firstLine="720"/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:rsidR="00460C97" w:rsidRPr="00460C97" w:rsidRDefault="00460C97" w:rsidP="00460C97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lang w:val="hr-HR"/>
        </w:rPr>
        <w:t>Proračun koji jedinice lokalne i područne (regionalne) samouprave donose za razdoblje 2023. – 2025. i financijski planovi njihovih proračunskih i izvanproračunskih korisnika za razdoblje 2023. – 2025. iako se pripremaju tijekom 2022., a predstavničko tijelo raspravlja i donosi proračun do kraja 2022. godine (dok je službena valuta kuna), svi iznosi iskazani u proračunu i financijskim planovima moraju biti iskazani u novoj službenoj valuti euru.</w:t>
      </w:r>
    </w:p>
    <w:p w:rsidR="001B533C" w:rsidRDefault="001B533C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A95BD6" w:rsidRDefault="00A95BD6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A95BD6" w:rsidRDefault="00A95BD6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A95BD6" w:rsidRPr="00460C97" w:rsidRDefault="00A95BD6" w:rsidP="00A95BD6">
      <w:pPr>
        <w:pStyle w:val="Naslov"/>
        <w:numPr>
          <w:ilvl w:val="0"/>
          <w:numId w:val="23"/>
        </w:numPr>
        <w:ind w:left="426"/>
        <w:outlineLvl w:val="0"/>
        <w:rPr>
          <w:rFonts w:cstheme="majorHAnsi"/>
          <w:lang w:val="hr-HR"/>
        </w:rPr>
      </w:pPr>
      <w:bookmarkStart w:id="4" w:name="_Toc119410806"/>
      <w:r>
        <w:rPr>
          <w:rFonts w:cstheme="majorHAnsi"/>
          <w:lang w:val="hr-HR"/>
        </w:rPr>
        <w:t>Ciljevi Proračuna Općine Gornja Vrba</w:t>
      </w:r>
      <w:bookmarkEnd w:id="4"/>
    </w:p>
    <w:p w:rsidR="00A95BD6" w:rsidRDefault="00A95BD6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A95BD6" w:rsidRPr="00A95BD6" w:rsidRDefault="00065FA2" w:rsidP="00A95BD6">
      <w:pPr>
        <w:ind w:firstLine="720"/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>
        <w:rPr>
          <w:rFonts w:asciiTheme="majorHAnsi" w:hAnsiTheme="majorHAnsi" w:cstheme="majorHAnsi"/>
          <w:bCs/>
          <w:sz w:val="28"/>
          <w:szCs w:val="24"/>
          <w:lang w:val="hr-HR"/>
        </w:rPr>
        <w:t>Proračunom</w:t>
      </w:r>
      <w:r w:rsidR="00A95BD6" w:rsidRPr="00A95BD6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Općine Gornja Vrba za 2023. god</w:t>
      </w:r>
      <w:r>
        <w:rPr>
          <w:rFonts w:asciiTheme="majorHAnsi" w:hAnsiTheme="majorHAnsi" w:cstheme="majorHAnsi"/>
          <w:bCs/>
          <w:sz w:val="28"/>
          <w:szCs w:val="24"/>
          <w:lang w:val="hr-HR"/>
        </w:rPr>
        <w:t>inu postavljeni</w:t>
      </w:r>
      <w:r w:rsidR="00A95BD6" w:rsidRPr="00A95BD6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su slijedeći ciljevi:</w:t>
      </w:r>
    </w:p>
    <w:p w:rsidR="00A95BD6" w:rsidRPr="00065FA2" w:rsidRDefault="00A95BD6" w:rsidP="00065FA2">
      <w:pPr>
        <w:pStyle w:val="Odlomakpopisa"/>
        <w:numPr>
          <w:ilvl w:val="0"/>
          <w:numId w:val="37"/>
        </w:numPr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>nastavak investicija započetih u 2022. godini;</w:t>
      </w:r>
    </w:p>
    <w:p w:rsidR="00A95BD6" w:rsidRPr="00065FA2" w:rsidRDefault="00A95BD6" w:rsidP="00065FA2">
      <w:pPr>
        <w:pStyle w:val="Odlomakpopisa"/>
        <w:numPr>
          <w:ilvl w:val="0"/>
          <w:numId w:val="37"/>
        </w:numPr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>početak novih investicija;</w:t>
      </w:r>
    </w:p>
    <w:p w:rsidR="00A95BD6" w:rsidRPr="00065FA2" w:rsidRDefault="00A95BD6" w:rsidP="00065FA2">
      <w:pPr>
        <w:pStyle w:val="Odlomakpopisa"/>
        <w:numPr>
          <w:ilvl w:val="0"/>
          <w:numId w:val="37"/>
        </w:numPr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>rješavanje imovinsko pravnih odnosa kao preduvjet za pokretanje novih investicija;</w:t>
      </w:r>
    </w:p>
    <w:p w:rsidR="00A95BD6" w:rsidRPr="00065FA2" w:rsidRDefault="00A95BD6" w:rsidP="00065FA2">
      <w:pPr>
        <w:pStyle w:val="Odlomakpopisa"/>
        <w:numPr>
          <w:ilvl w:val="0"/>
          <w:numId w:val="37"/>
        </w:numPr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>održavanje</w:t>
      </w:r>
      <w:r w:rsidR="00065FA2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i izgradnja nove</w:t>
      </w: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komunalne infrastrukture;</w:t>
      </w:r>
    </w:p>
    <w:p w:rsidR="00A95BD6" w:rsidRPr="00065FA2" w:rsidRDefault="00A95BD6" w:rsidP="00065FA2">
      <w:pPr>
        <w:pStyle w:val="Odlomakpopisa"/>
        <w:numPr>
          <w:ilvl w:val="0"/>
          <w:numId w:val="37"/>
        </w:numPr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>zaštita okoliša na načelima njegovog prihvatljivog kapaciteta</w:t>
      </w:r>
    </w:p>
    <w:p w:rsidR="00A95BD6" w:rsidRPr="00065FA2" w:rsidRDefault="00A95BD6" w:rsidP="00065FA2">
      <w:pPr>
        <w:pStyle w:val="Odlomakpopisa"/>
        <w:numPr>
          <w:ilvl w:val="0"/>
          <w:numId w:val="37"/>
        </w:numPr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>održavanje društvenih djelatnosti i standarda socijalno</w:t>
      </w:r>
      <w:r w:rsidR="00065FA2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-</w:t>
      </w:r>
      <w:r w:rsidRPr="00065FA2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zdravstvene zaštite na maksimalno mogućem nivou.</w:t>
      </w:r>
    </w:p>
    <w:p w:rsidR="00A95BD6" w:rsidRDefault="00A95BD6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8E3617" w:rsidRPr="00A95BD6" w:rsidRDefault="008E3617" w:rsidP="008E3617">
      <w:pPr>
        <w:ind w:firstLine="720"/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>Kod izrade proračuna jedinica lokalne i područne (regionalne) samouprave načelo transparentnosti, kao element djelotvornijeg upravljanja javnim resursima, treba biti sveprisutno.</w:t>
      </w:r>
    </w:p>
    <w:p w:rsidR="008E3617" w:rsidRDefault="008E3617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A95BD6" w:rsidRPr="00460C97" w:rsidRDefault="00A95BD6" w:rsidP="00A95BD6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1B533C" w:rsidRPr="00460C97" w:rsidRDefault="001B533C" w:rsidP="00E32F8E">
      <w:pPr>
        <w:ind w:firstLine="72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1B533C" w:rsidRDefault="001B533C" w:rsidP="008E361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8E3617" w:rsidRPr="00460C97" w:rsidRDefault="008E3617" w:rsidP="005318B6">
      <w:pPr>
        <w:pStyle w:val="Naslov"/>
        <w:numPr>
          <w:ilvl w:val="0"/>
          <w:numId w:val="23"/>
        </w:numPr>
        <w:ind w:left="567"/>
        <w:outlineLvl w:val="0"/>
        <w:rPr>
          <w:rFonts w:cstheme="majorHAnsi"/>
          <w:lang w:val="hr-HR"/>
        </w:rPr>
      </w:pPr>
      <w:bookmarkStart w:id="5" w:name="_Toc119410807"/>
      <w:r w:rsidRPr="00460C97">
        <w:rPr>
          <w:rFonts w:cstheme="majorHAnsi"/>
          <w:lang w:val="hr-HR"/>
        </w:rPr>
        <w:lastRenderedPageBreak/>
        <w:t>P</w:t>
      </w:r>
      <w:r w:rsidR="00881970">
        <w:rPr>
          <w:rFonts w:cstheme="majorHAnsi"/>
          <w:lang w:val="hr-HR"/>
        </w:rPr>
        <w:t>RORAČUN OPĆINE GORNJA VRBA</w:t>
      </w:r>
      <w:bookmarkEnd w:id="5"/>
    </w:p>
    <w:p w:rsidR="008E3617" w:rsidRDefault="008E3617" w:rsidP="008E3617">
      <w:pPr>
        <w:jc w:val="both"/>
        <w:rPr>
          <w:rFonts w:asciiTheme="majorHAnsi" w:hAnsiTheme="majorHAnsi" w:cstheme="majorHAnsi"/>
          <w:b/>
          <w:sz w:val="22"/>
          <w:szCs w:val="22"/>
          <w:highlight w:val="yellow"/>
          <w:lang w:val="hr-HR"/>
        </w:rPr>
      </w:pPr>
    </w:p>
    <w:p w:rsidR="008E3617" w:rsidRPr="00460C97" w:rsidRDefault="008E3617" w:rsidP="008E3617">
      <w:pPr>
        <w:jc w:val="both"/>
        <w:rPr>
          <w:rFonts w:asciiTheme="majorHAnsi" w:hAnsiTheme="majorHAnsi" w:cstheme="majorHAnsi"/>
          <w:b/>
          <w:sz w:val="22"/>
          <w:szCs w:val="22"/>
          <w:highlight w:val="yellow"/>
          <w:lang w:val="hr-HR"/>
        </w:rPr>
      </w:pPr>
    </w:p>
    <w:p w:rsidR="008E3617" w:rsidRPr="00460C97" w:rsidRDefault="008E3617" w:rsidP="008E3617">
      <w:pPr>
        <w:jc w:val="center"/>
        <w:rPr>
          <w:rFonts w:asciiTheme="majorHAnsi" w:hAnsiTheme="majorHAnsi" w:cstheme="majorHAnsi"/>
          <w:b/>
          <w:sz w:val="22"/>
          <w:szCs w:val="22"/>
          <w:highlight w:val="yellow"/>
          <w:lang w:val="hr-HR"/>
        </w:rPr>
      </w:pPr>
    </w:p>
    <w:p w:rsidR="008E3617" w:rsidRPr="00460C97" w:rsidRDefault="008E3617" w:rsidP="008E3617">
      <w:pPr>
        <w:rPr>
          <w:rFonts w:asciiTheme="majorHAnsi" w:hAnsiTheme="majorHAnsi" w:cstheme="majorHAnsi"/>
          <w:b/>
          <w:sz w:val="22"/>
          <w:szCs w:val="22"/>
          <w:highlight w:val="yellow"/>
          <w:lang w:val="hr-HR"/>
        </w:rPr>
      </w:pPr>
      <w:r w:rsidRPr="00460C97">
        <w:rPr>
          <w:rFonts w:asciiTheme="majorHAnsi" w:hAnsiTheme="majorHAnsi" w:cstheme="majorHAnsi"/>
          <w:noProof/>
          <w:highlight w:val="yellow"/>
        </w:rPr>
        <w:drawing>
          <wp:anchor distT="0" distB="0" distL="114300" distR="114300" simplePos="0" relativeHeight="251664896" behindDoc="0" locked="0" layoutInCell="1" allowOverlap="1" wp14:anchorId="659A93A4" wp14:editId="761EDBAF">
            <wp:simplePos x="0" y="0"/>
            <wp:positionH relativeFrom="column">
              <wp:posOffset>139065</wp:posOffset>
            </wp:positionH>
            <wp:positionV relativeFrom="paragraph">
              <wp:posOffset>9525</wp:posOffset>
            </wp:positionV>
            <wp:extent cx="5232400" cy="3542030"/>
            <wp:effectExtent l="0" t="0" r="6350" b="1270"/>
            <wp:wrapSquare wrapText="bothSides"/>
            <wp:docPr id="8" name="Objek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617" w:rsidRDefault="008E3617" w:rsidP="008E3617">
      <w:pPr>
        <w:pStyle w:val="Naslov"/>
        <w:ind w:left="1080"/>
        <w:outlineLvl w:val="1"/>
        <w:rPr>
          <w:rFonts w:cstheme="majorHAnsi"/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rPr>
          <w:lang w:val="hr-HR"/>
        </w:rPr>
      </w:pPr>
    </w:p>
    <w:p w:rsidR="008E3617" w:rsidRDefault="008E3617" w:rsidP="008E361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8E3617" w:rsidRDefault="008E3617" w:rsidP="008E361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13344E" w:rsidRDefault="0013344E" w:rsidP="008E361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8E3617" w:rsidRPr="00460C97" w:rsidRDefault="008E3617" w:rsidP="008E3617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131833" w:rsidRPr="00460C97" w:rsidRDefault="00695BE7" w:rsidP="005318B6">
      <w:pPr>
        <w:pStyle w:val="Naslov"/>
        <w:numPr>
          <w:ilvl w:val="0"/>
          <w:numId w:val="23"/>
        </w:numPr>
        <w:ind w:left="567"/>
        <w:outlineLvl w:val="0"/>
        <w:rPr>
          <w:rFonts w:cstheme="majorHAnsi"/>
          <w:lang w:val="hr-HR"/>
        </w:rPr>
      </w:pPr>
      <w:bookmarkStart w:id="6" w:name="_Toc119410808"/>
      <w:r w:rsidRPr="00460C97">
        <w:rPr>
          <w:rFonts w:cstheme="majorHAnsi"/>
          <w:lang w:val="hr-HR"/>
        </w:rPr>
        <w:t>S</w:t>
      </w:r>
      <w:r w:rsidR="00312A40" w:rsidRPr="00460C97">
        <w:rPr>
          <w:rFonts w:cstheme="majorHAnsi"/>
          <w:lang w:val="hr-HR"/>
        </w:rPr>
        <w:t>TRUKTURA PRIHODA I PRIMITAKA</w:t>
      </w:r>
      <w:bookmarkEnd w:id="6"/>
    </w:p>
    <w:p w:rsidR="00131833" w:rsidRDefault="00131833" w:rsidP="00131833">
      <w:pPr>
        <w:jc w:val="both"/>
        <w:rPr>
          <w:rFonts w:asciiTheme="majorHAnsi" w:hAnsiTheme="majorHAnsi" w:cstheme="majorHAnsi"/>
          <w:b/>
          <w:sz w:val="28"/>
          <w:szCs w:val="28"/>
          <w:highlight w:val="yellow"/>
          <w:lang w:val="hr-HR"/>
        </w:rPr>
      </w:pPr>
    </w:p>
    <w:p w:rsidR="008E3617" w:rsidRDefault="008E3617" w:rsidP="008E3617">
      <w:pPr>
        <w:jc w:val="both"/>
        <w:rPr>
          <w:rFonts w:asciiTheme="majorHAnsi" w:hAnsiTheme="majorHAnsi" w:cstheme="majorHAnsi"/>
          <w:bCs/>
          <w:sz w:val="28"/>
          <w:szCs w:val="24"/>
          <w:lang w:val="hr-HR"/>
        </w:rPr>
      </w:pP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>Kod p</w:t>
      </w:r>
      <w:r>
        <w:rPr>
          <w:rFonts w:asciiTheme="majorHAnsi" w:hAnsiTheme="majorHAnsi" w:cstheme="majorHAnsi"/>
          <w:bCs/>
          <w:sz w:val="28"/>
          <w:szCs w:val="24"/>
          <w:lang w:val="hr-HR"/>
        </w:rPr>
        <w:t>laniranja</w:t>
      </w: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prihoda </w:t>
      </w:r>
      <w:r>
        <w:rPr>
          <w:rFonts w:asciiTheme="majorHAnsi" w:hAnsiTheme="majorHAnsi" w:cstheme="majorHAnsi"/>
          <w:bCs/>
          <w:sz w:val="28"/>
          <w:szCs w:val="24"/>
          <w:lang w:val="hr-HR"/>
        </w:rPr>
        <w:t>Općina Gornja Vrba</w:t>
      </w: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se vodi</w:t>
      </w:r>
      <w:r>
        <w:rPr>
          <w:rFonts w:asciiTheme="majorHAnsi" w:hAnsiTheme="majorHAnsi" w:cstheme="majorHAnsi"/>
          <w:bCs/>
          <w:sz w:val="28"/>
          <w:szCs w:val="24"/>
          <w:lang w:val="hr-HR"/>
        </w:rPr>
        <w:t>la</w:t>
      </w: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svojim gospodarskim, demografskim i drugim uvjetima svog okruženja. Prihodi su planirani na osnovu procjene izvršenja proračuna za 2022.godinu. Komunalne naknade, doprinosi i zakupnine utvrđene su na temelju za sada postojećih rješenja i ugovora, ali s postupnim blagim rastom uvjetovanim povećanjem broja stambenih objekata</w:t>
      </w:r>
      <w:r>
        <w:rPr>
          <w:rFonts w:asciiTheme="majorHAnsi" w:hAnsiTheme="majorHAnsi" w:cstheme="majorHAnsi"/>
          <w:bCs/>
          <w:sz w:val="28"/>
          <w:szCs w:val="24"/>
          <w:lang w:val="hr-HR"/>
        </w:rPr>
        <w:t>,</w:t>
      </w: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 xml:space="preserve"> </w:t>
      </w:r>
      <w:r>
        <w:rPr>
          <w:rFonts w:asciiTheme="majorHAnsi" w:hAnsiTheme="majorHAnsi" w:cstheme="majorHAnsi"/>
          <w:bCs/>
          <w:sz w:val="28"/>
          <w:szCs w:val="24"/>
          <w:lang w:val="hr-HR"/>
        </w:rPr>
        <w:t xml:space="preserve">povećanjem zakupnine i </w:t>
      </w:r>
      <w:r w:rsidRPr="00A95BD6">
        <w:rPr>
          <w:rFonts w:asciiTheme="majorHAnsi" w:hAnsiTheme="majorHAnsi" w:cstheme="majorHAnsi"/>
          <w:bCs/>
          <w:sz w:val="28"/>
          <w:szCs w:val="24"/>
          <w:lang w:val="hr-HR"/>
        </w:rPr>
        <w:t>slično. Prihodovna strana proračuna planirana je na način da se vodilo računa o realnosti naplate istih. Projekcije prihoda planirane su bez prenesenih viškova i manjkova.</w:t>
      </w:r>
    </w:p>
    <w:p w:rsidR="008E3617" w:rsidRPr="00DC1FF1" w:rsidRDefault="008E3617" w:rsidP="00131833">
      <w:pPr>
        <w:jc w:val="both"/>
        <w:rPr>
          <w:rFonts w:asciiTheme="majorHAnsi" w:hAnsiTheme="majorHAnsi" w:cstheme="majorHAnsi"/>
          <w:b/>
          <w:sz w:val="28"/>
          <w:szCs w:val="28"/>
          <w:highlight w:val="yellow"/>
          <w:lang w:val="hr-HR"/>
        </w:rPr>
      </w:pPr>
    </w:p>
    <w:p w:rsidR="00131833" w:rsidRPr="00034D38" w:rsidRDefault="00131833" w:rsidP="005318B6">
      <w:pPr>
        <w:pStyle w:val="Odlomakpopisa"/>
        <w:numPr>
          <w:ilvl w:val="1"/>
          <w:numId w:val="23"/>
        </w:numPr>
        <w:jc w:val="both"/>
        <w:outlineLvl w:val="1"/>
        <w:rPr>
          <w:rFonts w:asciiTheme="majorHAnsi" w:hAnsiTheme="majorHAnsi" w:cstheme="majorHAnsi"/>
          <w:b/>
          <w:sz w:val="32"/>
          <w:szCs w:val="24"/>
          <w:lang w:val="hr-HR"/>
        </w:rPr>
      </w:pPr>
      <w:bookmarkStart w:id="7" w:name="_Toc119410809"/>
      <w:r w:rsidRPr="00034D38">
        <w:rPr>
          <w:rFonts w:asciiTheme="majorHAnsi" w:hAnsiTheme="majorHAnsi" w:cstheme="majorHAnsi"/>
          <w:b/>
          <w:sz w:val="32"/>
          <w:szCs w:val="24"/>
          <w:lang w:val="hr-HR"/>
        </w:rPr>
        <w:t>Prihodi poslovanja</w:t>
      </w:r>
      <w:bookmarkEnd w:id="7"/>
    </w:p>
    <w:p w:rsidR="00E11A19" w:rsidRPr="00034D38" w:rsidRDefault="00E11A19" w:rsidP="00E11A19">
      <w:pPr>
        <w:ind w:left="720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:rsidR="00131833" w:rsidRPr="00034D38" w:rsidRDefault="0069209C" w:rsidP="009414B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034D38">
        <w:rPr>
          <w:rFonts w:asciiTheme="majorHAnsi" w:hAnsiTheme="majorHAnsi" w:cstheme="majorHAnsi"/>
          <w:b/>
          <w:sz w:val="28"/>
          <w:szCs w:val="24"/>
          <w:lang w:val="hr-HR"/>
        </w:rPr>
        <w:t>Prihodi od p</w:t>
      </w:r>
      <w:r w:rsidR="00131833" w:rsidRPr="00034D38">
        <w:rPr>
          <w:rFonts w:asciiTheme="majorHAnsi" w:hAnsiTheme="majorHAnsi" w:cstheme="majorHAnsi"/>
          <w:b/>
          <w:sz w:val="28"/>
          <w:szCs w:val="24"/>
          <w:lang w:val="hr-HR"/>
        </w:rPr>
        <w:t>orez</w:t>
      </w:r>
      <w:r w:rsidRPr="00034D38">
        <w:rPr>
          <w:rFonts w:asciiTheme="majorHAnsi" w:hAnsiTheme="majorHAnsi" w:cstheme="majorHAnsi"/>
          <w:b/>
          <w:sz w:val="28"/>
          <w:szCs w:val="24"/>
          <w:lang w:val="hr-HR"/>
        </w:rPr>
        <w:t>a</w:t>
      </w:r>
      <w:r w:rsidR="00131833" w:rsidRPr="00034D38">
        <w:rPr>
          <w:rFonts w:asciiTheme="majorHAnsi" w:hAnsiTheme="majorHAnsi" w:cstheme="majorHAnsi"/>
          <w:b/>
          <w:sz w:val="28"/>
          <w:szCs w:val="24"/>
          <w:lang w:val="hr-HR"/>
        </w:rPr>
        <w:t xml:space="preserve"> </w:t>
      </w:r>
      <w:r w:rsidR="0059108B" w:rsidRPr="00034D38">
        <w:rPr>
          <w:rFonts w:asciiTheme="majorHAnsi" w:hAnsiTheme="majorHAnsi" w:cstheme="majorHAnsi"/>
          <w:sz w:val="28"/>
          <w:szCs w:val="24"/>
          <w:lang w:val="hr-HR"/>
        </w:rPr>
        <w:t>–</w:t>
      </w:r>
      <w:r w:rsidR="00131833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59108B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obuhvaćaju poreze koji su isključivi prihod Općine </w:t>
      </w:r>
      <w:r w:rsidR="00782393" w:rsidRPr="00034D38">
        <w:rPr>
          <w:rFonts w:asciiTheme="majorHAnsi" w:hAnsiTheme="majorHAnsi" w:cstheme="majorHAnsi"/>
          <w:sz w:val="28"/>
          <w:szCs w:val="24"/>
          <w:lang w:val="hr-HR"/>
        </w:rPr>
        <w:t>Gornja Vrba</w:t>
      </w:r>
      <w:r w:rsidR="0059108B" w:rsidRPr="00034D38">
        <w:rPr>
          <w:rFonts w:asciiTheme="majorHAnsi" w:hAnsiTheme="majorHAnsi" w:cstheme="majorHAnsi"/>
          <w:sz w:val="28"/>
          <w:szCs w:val="24"/>
          <w:lang w:val="hr-HR"/>
        </w:rPr>
        <w:t>, a p</w:t>
      </w:r>
      <w:r w:rsidR="006704C1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ropisani su Odlukom o </w:t>
      </w:r>
      <w:r w:rsidR="00E478F2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općinskim </w:t>
      </w:r>
      <w:r w:rsidR="00E84E4F" w:rsidRPr="00034D38">
        <w:rPr>
          <w:rFonts w:asciiTheme="majorHAnsi" w:hAnsiTheme="majorHAnsi" w:cstheme="majorHAnsi"/>
          <w:sz w:val="28"/>
          <w:szCs w:val="24"/>
          <w:lang w:val="hr-HR"/>
        </w:rPr>
        <w:t>porezima</w:t>
      </w:r>
      <w:r w:rsidR="0059108B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i zajedničke poreze koji se dijele između Župani</w:t>
      </w:r>
      <w:r w:rsidR="00CF7EFA" w:rsidRPr="00034D38">
        <w:rPr>
          <w:rFonts w:asciiTheme="majorHAnsi" w:hAnsiTheme="majorHAnsi" w:cstheme="majorHAnsi"/>
          <w:sz w:val="28"/>
          <w:szCs w:val="24"/>
          <w:lang w:val="hr-HR"/>
        </w:rPr>
        <w:t>je, Općine i Državnog proračuna.</w:t>
      </w:r>
    </w:p>
    <w:p w:rsidR="00131833" w:rsidRPr="00034D38" w:rsidRDefault="00131833" w:rsidP="009414B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034D38">
        <w:rPr>
          <w:rFonts w:asciiTheme="majorHAnsi" w:hAnsiTheme="majorHAnsi" w:cstheme="majorHAnsi"/>
          <w:b/>
          <w:sz w:val="28"/>
          <w:szCs w:val="24"/>
          <w:lang w:val="hr-HR"/>
        </w:rPr>
        <w:lastRenderedPageBreak/>
        <w:t xml:space="preserve">Pomoći </w:t>
      </w:r>
      <w:r w:rsidR="00162E98" w:rsidRPr="00034D38">
        <w:rPr>
          <w:rFonts w:asciiTheme="majorHAnsi" w:hAnsiTheme="majorHAnsi" w:cstheme="majorHAnsi"/>
          <w:sz w:val="28"/>
          <w:szCs w:val="24"/>
          <w:lang w:val="hr-HR"/>
        </w:rPr>
        <w:t>–</w:t>
      </w:r>
      <w:r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162E98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tekuće i kapitalne </w:t>
      </w:r>
      <w:r w:rsidRPr="00034D38">
        <w:rPr>
          <w:rFonts w:asciiTheme="majorHAnsi" w:hAnsiTheme="majorHAnsi" w:cstheme="majorHAnsi"/>
          <w:sz w:val="28"/>
          <w:szCs w:val="24"/>
          <w:lang w:val="hr-HR"/>
        </w:rPr>
        <w:t>pomoći iz državnog i županijskog proračuna</w:t>
      </w:r>
      <w:r w:rsidR="00162E98" w:rsidRPr="00034D38">
        <w:rPr>
          <w:rFonts w:asciiTheme="majorHAnsi" w:hAnsiTheme="majorHAnsi" w:cstheme="majorHAnsi"/>
          <w:sz w:val="28"/>
          <w:szCs w:val="24"/>
          <w:lang w:val="hr-HR"/>
        </w:rPr>
        <w:t>,</w:t>
      </w:r>
      <w:r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CF7EFA" w:rsidRPr="00034D38">
        <w:rPr>
          <w:rFonts w:asciiTheme="majorHAnsi" w:hAnsiTheme="majorHAnsi" w:cstheme="majorHAnsi"/>
          <w:sz w:val="28"/>
          <w:szCs w:val="24"/>
          <w:lang w:val="hr-HR"/>
        </w:rPr>
        <w:t>tekuće i kapitalne pomoći od izvan proračunskih korisnika (HZZ, Fondovi)</w:t>
      </w:r>
      <w:r w:rsidR="002E45B3" w:rsidRPr="00034D38">
        <w:rPr>
          <w:rFonts w:asciiTheme="majorHAnsi" w:hAnsiTheme="majorHAnsi" w:cstheme="majorHAnsi"/>
          <w:sz w:val="28"/>
          <w:szCs w:val="24"/>
          <w:lang w:val="hr-HR"/>
        </w:rPr>
        <w:t>,</w:t>
      </w:r>
      <w:r w:rsidR="00CF7EFA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te</w:t>
      </w:r>
      <w:r w:rsidR="002E45B3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CF7EFA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tekuće i kapitalne </w:t>
      </w:r>
      <w:r w:rsidR="002E45B3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pomoći iz državnog proračuna </w:t>
      </w:r>
      <w:r w:rsidR="00CF7EFA" w:rsidRPr="00034D38">
        <w:rPr>
          <w:rFonts w:asciiTheme="majorHAnsi" w:hAnsiTheme="majorHAnsi" w:cstheme="majorHAnsi"/>
          <w:sz w:val="28"/>
          <w:szCs w:val="24"/>
          <w:lang w:val="hr-HR"/>
        </w:rPr>
        <w:t>temeljem prijenosa EU sredstava.</w:t>
      </w:r>
    </w:p>
    <w:p w:rsidR="0069209C" w:rsidRPr="00034D38" w:rsidRDefault="0069209C" w:rsidP="009414B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034D38">
        <w:rPr>
          <w:rFonts w:asciiTheme="majorHAnsi" w:hAnsiTheme="majorHAnsi" w:cstheme="majorHAnsi"/>
          <w:b/>
          <w:sz w:val="28"/>
          <w:szCs w:val="24"/>
          <w:lang w:val="hr-HR"/>
        </w:rPr>
        <w:t>Prihodi od imovine</w:t>
      </w:r>
      <w:r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– </w:t>
      </w:r>
      <w:r w:rsidR="00FB7F1F" w:rsidRPr="00034D38">
        <w:rPr>
          <w:rFonts w:asciiTheme="majorHAnsi" w:hAnsiTheme="majorHAnsi" w:cstheme="majorHAnsi"/>
          <w:sz w:val="28"/>
          <w:szCs w:val="24"/>
          <w:lang w:val="hr-HR"/>
        </w:rPr>
        <w:t>Prihodi od financijske imovine (</w:t>
      </w:r>
      <w:r w:rsidR="002E45B3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zatezne </w:t>
      </w:r>
      <w:r w:rsidRPr="00034D38">
        <w:rPr>
          <w:rFonts w:asciiTheme="majorHAnsi" w:hAnsiTheme="majorHAnsi" w:cstheme="majorHAnsi"/>
          <w:sz w:val="28"/>
          <w:szCs w:val="24"/>
          <w:lang w:val="hr-HR"/>
        </w:rPr>
        <w:t>kamate</w:t>
      </w:r>
      <w:r w:rsidR="0001210D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i</w:t>
      </w:r>
      <w:r w:rsidR="002E45B3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kamate na depozite po viđenju</w:t>
      </w:r>
      <w:r w:rsidR="00CF7EFA" w:rsidRPr="00034D38">
        <w:rPr>
          <w:rFonts w:asciiTheme="majorHAnsi" w:hAnsiTheme="majorHAnsi" w:cstheme="majorHAnsi"/>
          <w:sz w:val="28"/>
          <w:szCs w:val="24"/>
          <w:lang w:val="hr-HR"/>
        </w:rPr>
        <w:t>) i p</w:t>
      </w:r>
      <w:r w:rsidR="00FB7F1F" w:rsidRPr="00034D38">
        <w:rPr>
          <w:rFonts w:asciiTheme="majorHAnsi" w:hAnsiTheme="majorHAnsi" w:cstheme="majorHAnsi"/>
          <w:sz w:val="28"/>
          <w:szCs w:val="24"/>
          <w:lang w:val="hr-HR"/>
        </w:rPr>
        <w:t>rihodi od nefinancijske imovine (</w:t>
      </w:r>
      <w:r w:rsidRPr="00034D38">
        <w:rPr>
          <w:rFonts w:asciiTheme="majorHAnsi" w:hAnsiTheme="majorHAnsi" w:cstheme="majorHAnsi"/>
          <w:sz w:val="28"/>
          <w:szCs w:val="24"/>
          <w:lang w:val="hr-HR"/>
        </w:rPr>
        <w:t>zakup</w:t>
      </w:r>
      <w:r w:rsidR="002E45B3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DC1FF1">
        <w:rPr>
          <w:rFonts w:asciiTheme="majorHAnsi" w:hAnsiTheme="majorHAnsi" w:cstheme="majorHAnsi"/>
          <w:sz w:val="28"/>
          <w:szCs w:val="24"/>
          <w:lang w:val="hr-HR"/>
        </w:rPr>
        <w:t xml:space="preserve">zemljišta i </w:t>
      </w:r>
      <w:r w:rsidR="002E45B3" w:rsidRPr="00034D38">
        <w:rPr>
          <w:rFonts w:asciiTheme="majorHAnsi" w:hAnsiTheme="majorHAnsi" w:cstheme="majorHAnsi"/>
          <w:sz w:val="28"/>
          <w:szCs w:val="24"/>
          <w:lang w:val="hr-HR"/>
        </w:rPr>
        <w:t>poslovnih objekata</w:t>
      </w:r>
      <w:r w:rsidRPr="00034D38">
        <w:rPr>
          <w:rFonts w:asciiTheme="majorHAnsi" w:hAnsiTheme="majorHAnsi" w:cstheme="majorHAnsi"/>
          <w:sz w:val="28"/>
          <w:szCs w:val="24"/>
          <w:lang w:val="hr-HR"/>
        </w:rPr>
        <w:t>, koncesijska naknada, spomenička renta, naknada za zadržavanje nezakonito izgrađene zgrade u prostoru</w:t>
      </w:r>
      <w:r w:rsidR="00FB7F1F" w:rsidRPr="00034D38">
        <w:rPr>
          <w:rFonts w:asciiTheme="majorHAnsi" w:hAnsiTheme="majorHAnsi" w:cstheme="majorHAnsi"/>
          <w:sz w:val="28"/>
          <w:szCs w:val="24"/>
          <w:lang w:val="hr-HR"/>
        </w:rPr>
        <w:t xml:space="preserve"> - legalizacija objekata)</w:t>
      </w:r>
      <w:r w:rsidR="00CF7EFA" w:rsidRPr="00034D38">
        <w:rPr>
          <w:rFonts w:asciiTheme="majorHAnsi" w:hAnsiTheme="majorHAnsi" w:cstheme="majorHAnsi"/>
          <w:sz w:val="28"/>
          <w:szCs w:val="24"/>
          <w:lang w:val="hr-HR"/>
        </w:rPr>
        <w:t>.</w:t>
      </w:r>
    </w:p>
    <w:p w:rsidR="00131833" w:rsidRPr="00DC1FF1" w:rsidRDefault="00131833" w:rsidP="009414B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>Prihodi od upravnih i administrativnih pristojbi i p</w:t>
      </w:r>
      <w:r w:rsidR="00F35BAA" w:rsidRPr="00DC1FF1">
        <w:rPr>
          <w:rFonts w:asciiTheme="majorHAnsi" w:hAnsiTheme="majorHAnsi" w:cstheme="majorHAnsi"/>
          <w:b/>
          <w:sz w:val="28"/>
          <w:szCs w:val="24"/>
          <w:lang w:val="hr-HR"/>
        </w:rPr>
        <w:t>o posebnim propisima i naknada</w:t>
      </w: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 xml:space="preserve"> -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 </w:t>
      </w:r>
      <w:r w:rsidR="002E45B3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općinske upravne pristojbe</w:t>
      </w:r>
      <w:r w:rsidR="00CF7EFA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(prenamjena poljoprivrednog u građevinsko zemljište)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>,</w:t>
      </w:r>
      <w:r w:rsidR="00CF7EFA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grobna naknada,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CF7EFA" w:rsidRPr="00DC1FF1">
        <w:rPr>
          <w:rFonts w:asciiTheme="majorHAnsi" w:hAnsiTheme="majorHAnsi" w:cstheme="majorHAnsi"/>
          <w:sz w:val="28"/>
          <w:szCs w:val="24"/>
          <w:lang w:val="hr-HR"/>
        </w:rPr>
        <w:t>šumski i vodni doprinos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, </w:t>
      </w:r>
      <w:r w:rsidR="00930736" w:rsidRPr="00DC1FF1">
        <w:rPr>
          <w:rFonts w:asciiTheme="majorHAnsi" w:hAnsiTheme="majorHAnsi" w:cstheme="majorHAnsi"/>
          <w:sz w:val="28"/>
          <w:szCs w:val="24"/>
          <w:lang w:val="hr-HR"/>
        </w:rPr>
        <w:t>komunalni doprinosi i komunalne naknad</w:t>
      </w:r>
      <w:r w:rsidR="00CF7EFA" w:rsidRPr="00DC1FF1">
        <w:rPr>
          <w:rFonts w:asciiTheme="majorHAnsi" w:hAnsiTheme="majorHAnsi" w:cstheme="majorHAnsi"/>
          <w:sz w:val="28"/>
          <w:szCs w:val="24"/>
          <w:lang w:val="hr-HR"/>
        </w:rPr>
        <w:t>e za stambeni i poslovni prostor.</w:t>
      </w:r>
    </w:p>
    <w:p w:rsidR="00131833" w:rsidRPr="00DC1FF1" w:rsidRDefault="00131833" w:rsidP="009414B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 xml:space="preserve">Prihodi od prodaje </w:t>
      </w:r>
      <w:r w:rsidR="00F35BAA" w:rsidRPr="00DC1FF1">
        <w:rPr>
          <w:rFonts w:asciiTheme="majorHAnsi" w:hAnsiTheme="majorHAnsi" w:cstheme="majorHAnsi"/>
          <w:b/>
          <w:sz w:val="28"/>
          <w:szCs w:val="24"/>
          <w:lang w:val="hr-HR"/>
        </w:rPr>
        <w:t xml:space="preserve">proizvoda i </w:t>
      </w: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>rob</w:t>
      </w:r>
      <w:r w:rsidR="00F35BAA" w:rsidRPr="00DC1FF1">
        <w:rPr>
          <w:rFonts w:asciiTheme="majorHAnsi" w:hAnsiTheme="majorHAnsi" w:cstheme="majorHAnsi"/>
          <w:b/>
          <w:sz w:val="28"/>
          <w:szCs w:val="24"/>
          <w:lang w:val="hr-HR"/>
        </w:rPr>
        <w:t>e</w:t>
      </w:r>
      <w:r w:rsidR="00DC1FF1">
        <w:rPr>
          <w:rFonts w:asciiTheme="majorHAnsi" w:hAnsiTheme="majorHAnsi" w:cstheme="majorHAnsi"/>
          <w:b/>
          <w:sz w:val="28"/>
          <w:szCs w:val="24"/>
          <w:lang w:val="hr-HR"/>
        </w:rPr>
        <w:t>,</w:t>
      </w: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 xml:space="preserve"> </w:t>
      </w:r>
      <w:r w:rsidR="00F35BAA" w:rsidRPr="00DC1FF1">
        <w:rPr>
          <w:rFonts w:asciiTheme="majorHAnsi" w:hAnsiTheme="majorHAnsi" w:cstheme="majorHAnsi"/>
          <w:b/>
          <w:sz w:val="28"/>
          <w:szCs w:val="24"/>
          <w:lang w:val="hr-HR"/>
        </w:rPr>
        <w:t xml:space="preserve">te </w:t>
      </w: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>pruženih usluga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0E202A" w:rsidRPr="00DC1FF1">
        <w:rPr>
          <w:rFonts w:asciiTheme="majorHAnsi" w:hAnsiTheme="majorHAnsi" w:cstheme="majorHAnsi"/>
          <w:b/>
          <w:sz w:val="28"/>
          <w:szCs w:val="24"/>
          <w:lang w:val="hr-HR"/>
        </w:rPr>
        <w:t>i prihodi od donacija</w:t>
      </w:r>
      <w:r w:rsidR="000E202A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BB730D" w:rsidRPr="00DC1FF1">
        <w:rPr>
          <w:rFonts w:asciiTheme="majorHAnsi" w:hAnsiTheme="majorHAnsi" w:cstheme="majorHAnsi"/>
          <w:sz w:val="28"/>
          <w:szCs w:val="24"/>
          <w:lang w:val="hr-HR"/>
        </w:rPr>
        <w:t>–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ED1D30" w:rsidRPr="00DC1FF1">
        <w:rPr>
          <w:rFonts w:asciiTheme="majorHAnsi" w:hAnsiTheme="majorHAnsi" w:cstheme="majorHAnsi"/>
          <w:sz w:val="28"/>
          <w:szCs w:val="24"/>
          <w:lang w:val="hr-HR"/>
        </w:rPr>
        <w:t>prihodi koje općina ostvari pružanjem usluge naplate naknade za uređenje voda za Hrvatske vode, t</w:t>
      </w:r>
      <w:r w:rsidR="00BB730D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e od </w:t>
      </w:r>
      <w:r w:rsidR="00CF7EFA" w:rsidRPr="00DC1FF1">
        <w:rPr>
          <w:rFonts w:asciiTheme="majorHAnsi" w:hAnsiTheme="majorHAnsi" w:cstheme="majorHAnsi"/>
          <w:sz w:val="28"/>
          <w:szCs w:val="24"/>
          <w:lang w:val="hr-HR"/>
        </w:rPr>
        <w:t>tekućih</w:t>
      </w:r>
      <w:r w:rsidR="009C4003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0E202A" w:rsidRPr="00DC1FF1">
        <w:rPr>
          <w:rFonts w:asciiTheme="majorHAnsi" w:hAnsiTheme="majorHAnsi" w:cstheme="majorHAnsi"/>
          <w:sz w:val="28"/>
          <w:szCs w:val="24"/>
          <w:lang w:val="hr-HR"/>
        </w:rPr>
        <w:t>donacij</w:t>
      </w:r>
      <w:r w:rsidR="00BB730D" w:rsidRPr="00DC1FF1">
        <w:rPr>
          <w:rFonts w:asciiTheme="majorHAnsi" w:hAnsiTheme="majorHAnsi" w:cstheme="majorHAnsi"/>
          <w:sz w:val="28"/>
          <w:szCs w:val="24"/>
          <w:lang w:val="hr-HR"/>
        </w:rPr>
        <w:t>a koje up</w:t>
      </w:r>
      <w:r w:rsidR="00CF7EFA" w:rsidRPr="00DC1FF1">
        <w:rPr>
          <w:rFonts w:asciiTheme="majorHAnsi" w:hAnsiTheme="majorHAnsi" w:cstheme="majorHAnsi"/>
          <w:sz w:val="28"/>
          <w:szCs w:val="24"/>
          <w:lang w:val="hr-HR"/>
        </w:rPr>
        <w:t>laćuju pravne ili fizičke osobe za realizaciju projekata.</w:t>
      </w:r>
    </w:p>
    <w:p w:rsidR="00131833" w:rsidRPr="00DC1FF1" w:rsidRDefault="00131833" w:rsidP="009414B3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>Kazne, upravne mjere i ostalo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EE2B3E" w:rsidRPr="00DC1FF1">
        <w:rPr>
          <w:rFonts w:asciiTheme="majorHAnsi" w:hAnsiTheme="majorHAnsi" w:cstheme="majorHAnsi"/>
          <w:sz w:val="28"/>
          <w:szCs w:val="24"/>
          <w:lang w:val="hr-HR"/>
        </w:rPr>
        <w:t>–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EE2B3E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obuhvaćaju prihode koji se ostvare 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>napla</w:t>
      </w:r>
      <w:r w:rsidR="00EE2B3E" w:rsidRPr="00DC1FF1">
        <w:rPr>
          <w:rFonts w:asciiTheme="majorHAnsi" w:hAnsiTheme="majorHAnsi" w:cstheme="majorHAnsi"/>
          <w:sz w:val="28"/>
          <w:szCs w:val="24"/>
          <w:lang w:val="hr-HR"/>
        </w:rPr>
        <w:t>tom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troškov</w:t>
      </w:r>
      <w:r w:rsidR="00EE2B3E" w:rsidRPr="00DC1FF1">
        <w:rPr>
          <w:rFonts w:asciiTheme="majorHAnsi" w:hAnsiTheme="majorHAnsi" w:cstheme="majorHAnsi"/>
          <w:sz w:val="28"/>
          <w:szCs w:val="24"/>
          <w:lang w:val="hr-HR"/>
        </w:rPr>
        <w:t>a prisilne naplate i ostale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prihod</w:t>
      </w:r>
      <w:r w:rsidR="00EE2B3E" w:rsidRPr="00DC1FF1">
        <w:rPr>
          <w:rFonts w:asciiTheme="majorHAnsi" w:hAnsiTheme="majorHAnsi" w:cstheme="majorHAnsi"/>
          <w:sz w:val="28"/>
          <w:szCs w:val="24"/>
          <w:lang w:val="hr-HR"/>
        </w:rPr>
        <w:t>e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koji nisu zasebno spomenuti.</w:t>
      </w:r>
    </w:p>
    <w:p w:rsidR="00131833" w:rsidRDefault="00131833" w:rsidP="00F84044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F84044" w:rsidRPr="004839AD" w:rsidRDefault="00F84044" w:rsidP="00F84044">
      <w:pPr>
        <w:jc w:val="both"/>
        <w:rPr>
          <w:rFonts w:asciiTheme="majorHAnsi" w:hAnsiTheme="majorHAnsi" w:cstheme="majorHAnsi"/>
          <w:b/>
          <w:i/>
          <w:sz w:val="24"/>
          <w:szCs w:val="24"/>
          <w:lang w:val="hr-HR"/>
        </w:rPr>
      </w:pPr>
      <w:r w:rsidRPr="00F42C99">
        <w:rPr>
          <w:rFonts w:asciiTheme="majorHAnsi" w:hAnsiTheme="majorHAnsi" w:cstheme="majorHAnsi"/>
          <w:b/>
          <w:i/>
          <w:sz w:val="24"/>
          <w:szCs w:val="24"/>
          <w:lang w:val="hr-HR"/>
        </w:rPr>
        <w:t>PLANIRANI PRIHODI POSLOVANJA  ZA 202</w:t>
      </w:r>
      <w:r>
        <w:rPr>
          <w:rFonts w:asciiTheme="majorHAnsi" w:hAnsiTheme="majorHAnsi" w:cstheme="majorHAnsi"/>
          <w:b/>
          <w:i/>
          <w:sz w:val="24"/>
          <w:szCs w:val="24"/>
          <w:lang w:val="hr-HR"/>
        </w:rPr>
        <w:t>3</w:t>
      </w:r>
      <w:r w:rsidRPr="00F42C99">
        <w:rPr>
          <w:rFonts w:asciiTheme="majorHAnsi" w:hAnsiTheme="majorHAnsi" w:cstheme="majorHAnsi"/>
          <w:b/>
          <w:i/>
          <w:sz w:val="24"/>
          <w:szCs w:val="24"/>
          <w:lang w:val="hr-HR"/>
        </w:rPr>
        <w:t xml:space="preserve">. GODINU IZNOSE: </w:t>
      </w:r>
      <w:r>
        <w:rPr>
          <w:rFonts w:asciiTheme="majorHAnsi" w:hAnsiTheme="majorHAnsi" w:cstheme="majorHAnsi"/>
          <w:b/>
          <w:i/>
          <w:sz w:val="24"/>
          <w:szCs w:val="24"/>
          <w:lang w:val="hr-HR"/>
        </w:rPr>
        <w:t>1.418.200,00 EUR</w:t>
      </w:r>
    </w:p>
    <w:p w:rsidR="00F84044" w:rsidRPr="004839AD" w:rsidRDefault="00F84044" w:rsidP="00F84044">
      <w:pPr>
        <w:jc w:val="both"/>
        <w:rPr>
          <w:rFonts w:asciiTheme="majorHAnsi" w:hAnsiTheme="majorHAnsi" w:cstheme="majorHAnsi"/>
          <w:i/>
          <w:sz w:val="16"/>
          <w:szCs w:val="22"/>
          <w:lang w:val="hr-HR"/>
        </w:rPr>
      </w:pPr>
    </w:p>
    <w:p w:rsidR="00F84044" w:rsidRPr="004839AD" w:rsidRDefault="00F84044" w:rsidP="00F8404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839AD">
        <w:rPr>
          <w:rFonts w:asciiTheme="majorHAnsi" w:hAnsiTheme="majorHAnsi" w:cstheme="majorHAnsi"/>
          <w:sz w:val="24"/>
          <w:szCs w:val="24"/>
          <w:lang w:val="hr-HR"/>
        </w:rPr>
        <w:t xml:space="preserve">Prihodi od poreza – </w:t>
      </w:r>
      <w:r>
        <w:rPr>
          <w:rFonts w:asciiTheme="majorHAnsi" w:hAnsiTheme="majorHAnsi" w:cstheme="majorHAnsi"/>
          <w:sz w:val="24"/>
          <w:szCs w:val="24"/>
          <w:lang w:val="hr-HR"/>
        </w:rPr>
        <w:t>514.000,00 EUR</w:t>
      </w:r>
    </w:p>
    <w:p w:rsidR="00F84044" w:rsidRPr="004839AD" w:rsidRDefault="00F84044" w:rsidP="00F8404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839AD">
        <w:rPr>
          <w:rFonts w:asciiTheme="majorHAnsi" w:hAnsiTheme="majorHAnsi" w:cstheme="majorHAnsi"/>
          <w:sz w:val="24"/>
          <w:szCs w:val="24"/>
          <w:lang w:val="hr-HR"/>
        </w:rPr>
        <w:t xml:space="preserve">Pomoći – </w:t>
      </w:r>
      <w:r>
        <w:rPr>
          <w:rFonts w:asciiTheme="majorHAnsi" w:hAnsiTheme="majorHAnsi" w:cstheme="majorHAnsi"/>
          <w:sz w:val="24"/>
          <w:szCs w:val="24"/>
          <w:lang w:val="hr-HR"/>
        </w:rPr>
        <w:t>599.000,00 EUR</w:t>
      </w:r>
    </w:p>
    <w:p w:rsidR="00F84044" w:rsidRPr="004839AD" w:rsidRDefault="00F84044" w:rsidP="00F8404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839AD">
        <w:rPr>
          <w:rFonts w:asciiTheme="majorHAnsi" w:hAnsiTheme="majorHAnsi" w:cstheme="majorHAnsi"/>
          <w:sz w:val="24"/>
          <w:szCs w:val="24"/>
          <w:lang w:val="hr-HR"/>
        </w:rPr>
        <w:t xml:space="preserve">Prihodi od imovine – </w:t>
      </w:r>
      <w:r>
        <w:rPr>
          <w:rFonts w:asciiTheme="majorHAnsi" w:hAnsiTheme="majorHAnsi" w:cstheme="majorHAnsi"/>
          <w:sz w:val="24"/>
          <w:szCs w:val="24"/>
          <w:lang w:val="hr-HR"/>
        </w:rPr>
        <w:t>67.900,00 EUR</w:t>
      </w:r>
    </w:p>
    <w:p w:rsidR="00F84044" w:rsidRPr="004839AD" w:rsidRDefault="00F84044" w:rsidP="00F8404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839AD">
        <w:rPr>
          <w:rFonts w:asciiTheme="majorHAnsi" w:hAnsiTheme="majorHAnsi" w:cstheme="majorHAnsi"/>
          <w:sz w:val="24"/>
          <w:szCs w:val="24"/>
          <w:lang w:val="hr-HR"/>
        </w:rPr>
        <w:t xml:space="preserve">Prihodi od upravnih i administrativnih pristojbi, pristojbi po posebnim propisima i naknada – </w:t>
      </w:r>
      <w:r>
        <w:rPr>
          <w:rFonts w:asciiTheme="majorHAnsi" w:hAnsiTheme="majorHAnsi" w:cstheme="majorHAnsi"/>
          <w:sz w:val="24"/>
          <w:szCs w:val="24"/>
          <w:lang w:val="hr-HR"/>
        </w:rPr>
        <w:t>226.300,00 EUR</w:t>
      </w:r>
    </w:p>
    <w:p w:rsidR="00F84044" w:rsidRPr="004839AD" w:rsidRDefault="00F84044" w:rsidP="00F8404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839AD">
        <w:rPr>
          <w:rFonts w:asciiTheme="majorHAnsi" w:hAnsiTheme="majorHAnsi" w:cstheme="majorHAnsi"/>
          <w:sz w:val="24"/>
          <w:szCs w:val="24"/>
          <w:lang w:val="hr-HR"/>
        </w:rPr>
        <w:t xml:space="preserve">Prihodi od pruženih usluga – </w:t>
      </w:r>
      <w:r>
        <w:rPr>
          <w:rFonts w:asciiTheme="majorHAnsi" w:hAnsiTheme="majorHAnsi" w:cstheme="majorHAnsi"/>
          <w:sz w:val="24"/>
          <w:szCs w:val="24"/>
          <w:lang w:val="hr-HR"/>
        </w:rPr>
        <w:t>10.000,00 EUR</w:t>
      </w:r>
    </w:p>
    <w:p w:rsidR="00F84044" w:rsidRPr="004839AD" w:rsidRDefault="00F84044" w:rsidP="00F8404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839AD">
        <w:rPr>
          <w:rFonts w:asciiTheme="majorHAnsi" w:hAnsiTheme="majorHAnsi" w:cstheme="majorHAnsi"/>
          <w:sz w:val="24"/>
          <w:szCs w:val="24"/>
          <w:lang w:val="hr-HR"/>
        </w:rPr>
        <w:t xml:space="preserve">Kazne, upravne mjere i ostali prihodi – </w:t>
      </w:r>
      <w:r>
        <w:rPr>
          <w:rFonts w:asciiTheme="majorHAnsi" w:hAnsiTheme="majorHAnsi" w:cstheme="majorHAnsi"/>
          <w:sz w:val="24"/>
          <w:szCs w:val="24"/>
          <w:lang w:val="hr-HR"/>
        </w:rPr>
        <w:t>1.000,00 EUR</w:t>
      </w:r>
    </w:p>
    <w:p w:rsidR="00F84044" w:rsidRDefault="00F84044" w:rsidP="00F84044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8E3617" w:rsidRPr="00460C97" w:rsidRDefault="008E3617" w:rsidP="00131833">
      <w:pPr>
        <w:ind w:left="108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131833" w:rsidRPr="00DC1FF1" w:rsidRDefault="00131833" w:rsidP="005318B6">
      <w:pPr>
        <w:pStyle w:val="Odlomakpopisa"/>
        <w:numPr>
          <w:ilvl w:val="1"/>
          <w:numId w:val="23"/>
        </w:numPr>
        <w:jc w:val="both"/>
        <w:outlineLvl w:val="1"/>
        <w:rPr>
          <w:rFonts w:asciiTheme="majorHAnsi" w:hAnsiTheme="majorHAnsi" w:cstheme="majorHAnsi"/>
          <w:b/>
          <w:sz w:val="32"/>
          <w:szCs w:val="24"/>
          <w:lang w:val="hr-HR"/>
        </w:rPr>
      </w:pPr>
      <w:bookmarkStart w:id="8" w:name="_Toc119410810"/>
      <w:r w:rsidRPr="00DC1FF1">
        <w:rPr>
          <w:rFonts w:asciiTheme="majorHAnsi" w:hAnsiTheme="majorHAnsi" w:cstheme="majorHAnsi"/>
          <w:b/>
          <w:sz w:val="32"/>
          <w:szCs w:val="24"/>
          <w:lang w:val="hr-HR"/>
        </w:rPr>
        <w:t>Prihodi od prodaje nefinancijske imovine</w:t>
      </w:r>
      <w:bookmarkEnd w:id="8"/>
    </w:p>
    <w:p w:rsidR="00EE2B3E" w:rsidRPr="00DC1FF1" w:rsidRDefault="00EE2B3E" w:rsidP="00EE2B3E">
      <w:pPr>
        <w:ind w:left="720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:rsidR="00034B95" w:rsidRPr="00DC1FF1" w:rsidRDefault="00131833" w:rsidP="009414B3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>Prihodi od prodaje proizvedene dugotrajne imovine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- prihodi od prodaje</w:t>
      </w:r>
      <w:r w:rsidR="002111C2"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034B95" w:rsidRPr="00DC1FF1">
        <w:rPr>
          <w:rFonts w:asciiTheme="majorHAnsi" w:hAnsiTheme="majorHAnsi" w:cstheme="majorHAnsi"/>
          <w:sz w:val="28"/>
          <w:szCs w:val="24"/>
          <w:lang w:val="hr-HR"/>
        </w:rPr>
        <w:t>građevinskog i poljoprivrednog zemljišta, te ostale dugotrajne imovine.</w:t>
      </w:r>
    </w:p>
    <w:p w:rsidR="00131833" w:rsidRDefault="00034B95" w:rsidP="00034B95">
      <w:pPr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  <w:r w:rsidRPr="00460C97">
        <w:rPr>
          <w:rFonts w:asciiTheme="majorHAnsi" w:hAnsiTheme="majorHAnsi" w:cstheme="majorHAnsi"/>
          <w:sz w:val="28"/>
          <w:szCs w:val="24"/>
          <w:highlight w:val="yellow"/>
          <w:lang w:val="hr-HR"/>
        </w:rPr>
        <w:t xml:space="preserve"> </w:t>
      </w:r>
    </w:p>
    <w:p w:rsidR="00F84044" w:rsidRPr="00F42C99" w:rsidRDefault="00F84044" w:rsidP="00F84044">
      <w:pPr>
        <w:jc w:val="both"/>
        <w:rPr>
          <w:rFonts w:asciiTheme="majorHAnsi" w:hAnsiTheme="majorHAnsi" w:cstheme="majorHAnsi"/>
          <w:b/>
          <w:i/>
          <w:sz w:val="24"/>
          <w:szCs w:val="24"/>
          <w:lang w:val="hr-HR"/>
        </w:rPr>
      </w:pPr>
      <w:r w:rsidRPr="00F42C99">
        <w:rPr>
          <w:rFonts w:asciiTheme="majorHAnsi" w:hAnsiTheme="majorHAnsi" w:cstheme="majorHAnsi"/>
          <w:b/>
          <w:i/>
          <w:sz w:val="24"/>
          <w:szCs w:val="24"/>
          <w:lang w:val="hr-HR"/>
        </w:rPr>
        <w:t>PLANIRANI PRIHODI OD PRODAJE NEFIN. IMOVINE ZA 202</w:t>
      </w:r>
      <w:r>
        <w:rPr>
          <w:rFonts w:asciiTheme="majorHAnsi" w:hAnsiTheme="majorHAnsi" w:cstheme="majorHAnsi"/>
          <w:b/>
          <w:i/>
          <w:sz w:val="24"/>
          <w:szCs w:val="24"/>
          <w:lang w:val="hr-HR"/>
        </w:rPr>
        <w:t>3</w:t>
      </w:r>
      <w:r w:rsidRPr="00F42C99">
        <w:rPr>
          <w:rFonts w:asciiTheme="majorHAnsi" w:hAnsiTheme="majorHAnsi" w:cstheme="majorHAnsi"/>
          <w:b/>
          <w:i/>
          <w:sz w:val="24"/>
          <w:szCs w:val="24"/>
          <w:lang w:val="hr-HR"/>
        </w:rPr>
        <w:t xml:space="preserve">.GODINU IZNOSE: </w:t>
      </w:r>
      <w:r>
        <w:rPr>
          <w:rFonts w:asciiTheme="majorHAnsi" w:hAnsiTheme="majorHAnsi" w:cstheme="majorHAnsi"/>
          <w:b/>
          <w:i/>
          <w:sz w:val="24"/>
          <w:szCs w:val="24"/>
          <w:lang w:val="hr-HR"/>
        </w:rPr>
        <w:t>13.5</w:t>
      </w:r>
      <w:r w:rsidRPr="00F42C99">
        <w:rPr>
          <w:rFonts w:asciiTheme="majorHAnsi" w:hAnsiTheme="majorHAnsi" w:cstheme="majorHAnsi"/>
          <w:b/>
          <w:i/>
          <w:sz w:val="24"/>
          <w:szCs w:val="24"/>
          <w:lang w:val="hr-HR"/>
        </w:rPr>
        <w:t xml:space="preserve">00,00 </w:t>
      </w:r>
      <w:r>
        <w:rPr>
          <w:rFonts w:asciiTheme="majorHAnsi" w:hAnsiTheme="majorHAnsi" w:cstheme="majorHAnsi"/>
          <w:b/>
          <w:i/>
          <w:sz w:val="24"/>
          <w:szCs w:val="24"/>
          <w:lang w:val="hr-HR"/>
        </w:rPr>
        <w:t>EUR</w:t>
      </w:r>
    </w:p>
    <w:p w:rsidR="00F84044" w:rsidRPr="00F42C99" w:rsidRDefault="00F84044" w:rsidP="00F84044">
      <w:pPr>
        <w:jc w:val="both"/>
        <w:rPr>
          <w:rFonts w:asciiTheme="majorHAnsi" w:hAnsiTheme="majorHAnsi" w:cstheme="majorHAnsi"/>
          <w:b/>
          <w:sz w:val="16"/>
          <w:szCs w:val="22"/>
          <w:lang w:val="hr-HR"/>
        </w:rPr>
      </w:pPr>
    </w:p>
    <w:p w:rsidR="00F84044" w:rsidRPr="0013344E" w:rsidRDefault="00F84044" w:rsidP="00F84044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F42C99">
        <w:rPr>
          <w:rFonts w:asciiTheme="majorHAnsi" w:hAnsiTheme="majorHAnsi" w:cstheme="majorHAnsi"/>
          <w:sz w:val="24"/>
          <w:szCs w:val="24"/>
          <w:lang w:val="hr-HR"/>
        </w:rPr>
        <w:t xml:space="preserve">Prihodi od prodaje ne proizvedene imovine – </w:t>
      </w:r>
      <w:r>
        <w:rPr>
          <w:rFonts w:asciiTheme="majorHAnsi" w:hAnsiTheme="majorHAnsi" w:cstheme="majorHAnsi"/>
          <w:sz w:val="24"/>
          <w:szCs w:val="24"/>
          <w:lang w:val="hr-HR"/>
        </w:rPr>
        <w:t>13.500,00 EUR</w:t>
      </w:r>
    </w:p>
    <w:p w:rsidR="00131833" w:rsidRPr="00DC1FF1" w:rsidRDefault="00131833" w:rsidP="005318B6">
      <w:pPr>
        <w:pStyle w:val="Odlomakpopisa"/>
        <w:numPr>
          <w:ilvl w:val="1"/>
          <w:numId w:val="23"/>
        </w:numPr>
        <w:jc w:val="both"/>
        <w:outlineLvl w:val="1"/>
        <w:rPr>
          <w:rFonts w:asciiTheme="majorHAnsi" w:hAnsiTheme="majorHAnsi" w:cstheme="majorHAnsi"/>
          <w:b/>
          <w:sz w:val="32"/>
          <w:szCs w:val="24"/>
          <w:lang w:val="hr-HR"/>
        </w:rPr>
      </w:pPr>
      <w:bookmarkStart w:id="9" w:name="_Toc119410811"/>
      <w:r w:rsidRPr="00DC1FF1">
        <w:rPr>
          <w:rFonts w:asciiTheme="majorHAnsi" w:hAnsiTheme="majorHAnsi" w:cstheme="majorHAnsi"/>
          <w:b/>
          <w:sz w:val="32"/>
          <w:szCs w:val="24"/>
          <w:lang w:val="hr-HR"/>
        </w:rPr>
        <w:lastRenderedPageBreak/>
        <w:t>Raspoloživa sredstva iz prethodnog razdoblja</w:t>
      </w:r>
      <w:bookmarkEnd w:id="9"/>
    </w:p>
    <w:p w:rsidR="00DC1FF1" w:rsidRPr="00DC1FF1" w:rsidRDefault="00DC1FF1" w:rsidP="00DC1FF1">
      <w:pPr>
        <w:ind w:left="1080"/>
        <w:jc w:val="both"/>
        <w:rPr>
          <w:rFonts w:asciiTheme="majorHAnsi" w:hAnsiTheme="majorHAnsi" w:cstheme="majorHAnsi"/>
          <w:b/>
          <w:sz w:val="24"/>
          <w:szCs w:val="22"/>
          <w:lang w:val="hr-HR"/>
        </w:rPr>
      </w:pPr>
    </w:p>
    <w:p w:rsidR="00131833" w:rsidRPr="00DC1FF1" w:rsidRDefault="00131833" w:rsidP="009414B3">
      <w:pPr>
        <w:numPr>
          <w:ilvl w:val="0"/>
          <w:numId w:val="5"/>
        </w:numPr>
        <w:jc w:val="both"/>
        <w:rPr>
          <w:rFonts w:asciiTheme="majorHAnsi" w:hAnsiTheme="majorHAnsi" w:cstheme="majorHAnsi"/>
          <w:b/>
          <w:sz w:val="28"/>
          <w:szCs w:val="24"/>
          <w:lang w:val="hr-HR"/>
        </w:rPr>
      </w:pPr>
      <w:r w:rsidRPr="00DC1FF1">
        <w:rPr>
          <w:rFonts w:asciiTheme="majorHAnsi" w:hAnsiTheme="majorHAnsi" w:cstheme="majorHAnsi"/>
          <w:b/>
          <w:sz w:val="28"/>
          <w:szCs w:val="24"/>
          <w:lang w:val="hr-HR"/>
        </w:rPr>
        <w:t>Višak ili manjak iz prethodne godine</w:t>
      </w:r>
      <w:r w:rsidRPr="00DC1FF1">
        <w:rPr>
          <w:rFonts w:asciiTheme="majorHAnsi" w:hAnsiTheme="majorHAnsi" w:cstheme="majorHAnsi"/>
          <w:sz w:val="28"/>
          <w:szCs w:val="24"/>
          <w:lang w:val="hr-HR"/>
        </w:rPr>
        <w:t xml:space="preserve"> - utvrđuje se nakon završetka proračunske godine, prenosi se u iduću godinu</w:t>
      </w:r>
      <w:r w:rsidR="00034B95" w:rsidRPr="00DC1FF1">
        <w:rPr>
          <w:rFonts w:asciiTheme="majorHAnsi" w:hAnsiTheme="majorHAnsi" w:cstheme="majorHAnsi"/>
          <w:sz w:val="28"/>
          <w:szCs w:val="24"/>
          <w:lang w:val="hr-HR"/>
        </w:rPr>
        <w:t>.</w:t>
      </w:r>
    </w:p>
    <w:p w:rsidR="00A95BD6" w:rsidRDefault="00A95BD6" w:rsidP="00A95BD6">
      <w:pPr>
        <w:jc w:val="both"/>
        <w:rPr>
          <w:rFonts w:asciiTheme="majorHAnsi" w:hAnsiTheme="majorHAnsi" w:cstheme="majorHAnsi"/>
          <w:b/>
          <w:sz w:val="28"/>
          <w:szCs w:val="24"/>
          <w:highlight w:val="yellow"/>
          <w:lang w:val="hr-HR"/>
        </w:rPr>
      </w:pPr>
    </w:p>
    <w:p w:rsidR="004839AD" w:rsidRPr="00460C97" w:rsidRDefault="004839AD" w:rsidP="004839AD">
      <w:pPr>
        <w:jc w:val="both"/>
        <w:rPr>
          <w:rFonts w:asciiTheme="majorHAnsi" w:hAnsiTheme="majorHAnsi" w:cstheme="majorHAnsi"/>
          <w:sz w:val="22"/>
          <w:szCs w:val="22"/>
          <w:highlight w:val="yellow"/>
          <w:lang w:val="hr-HR"/>
        </w:rPr>
      </w:pPr>
    </w:p>
    <w:p w:rsidR="004839AD" w:rsidRPr="0013344E" w:rsidRDefault="004839AD" w:rsidP="004839AD">
      <w:pPr>
        <w:jc w:val="both"/>
        <w:rPr>
          <w:rFonts w:asciiTheme="majorHAnsi" w:hAnsiTheme="majorHAnsi" w:cstheme="majorHAnsi"/>
          <w:b/>
          <w:i/>
          <w:sz w:val="24"/>
          <w:szCs w:val="24"/>
          <w:lang w:val="hr-HR"/>
        </w:rPr>
      </w:pPr>
      <w:r w:rsidRPr="0013344E">
        <w:rPr>
          <w:rFonts w:asciiTheme="majorHAnsi" w:hAnsiTheme="majorHAnsi" w:cstheme="majorHAnsi"/>
          <w:b/>
          <w:i/>
          <w:sz w:val="24"/>
          <w:szCs w:val="24"/>
          <w:lang w:val="hr-HR"/>
        </w:rPr>
        <w:t xml:space="preserve">PLANIRANA RASPOLOŽIVA SREDSTVA IZ PRETHODNIH GODINA: </w:t>
      </w:r>
      <w:r w:rsidR="0013344E">
        <w:rPr>
          <w:rFonts w:asciiTheme="majorHAnsi" w:hAnsiTheme="majorHAnsi" w:cstheme="majorHAnsi"/>
          <w:b/>
          <w:i/>
          <w:sz w:val="24"/>
          <w:szCs w:val="24"/>
          <w:lang w:val="hr-HR"/>
        </w:rPr>
        <w:t>200.000,00 EUR</w:t>
      </w:r>
    </w:p>
    <w:p w:rsidR="004839AD" w:rsidRPr="0013344E" w:rsidRDefault="004839AD" w:rsidP="004839AD">
      <w:pPr>
        <w:jc w:val="both"/>
        <w:rPr>
          <w:rFonts w:asciiTheme="majorHAnsi" w:hAnsiTheme="majorHAnsi" w:cstheme="majorHAnsi"/>
          <w:b/>
          <w:sz w:val="16"/>
          <w:szCs w:val="22"/>
          <w:lang w:val="hr-HR"/>
        </w:rPr>
      </w:pPr>
    </w:p>
    <w:p w:rsidR="004839AD" w:rsidRDefault="004839AD" w:rsidP="004839AD">
      <w:pPr>
        <w:numPr>
          <w:ilvl w:val="0"/>
          <w:numId w:val="16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3344E">
        <w:rPr>
          <w:rFonts w:asciiTheme="majorHAnsi" w:hAnsiTheme="majorHAnsi" w:cstheme="majorHAnsi"/>
          <w:sz w:val="24"/>
          <w:szCs w:val="24"/>
          <w:lang w:val="hr-HR"/>
        </w:rPr>
        <w:t>Višak koji će se rasporediti u 2023.godini – 200.000,00 EUR</w:t>
      </w:r>
    </w:p>
    <w:p w:rsidR="0013344E" w:rsidRPr="0013344E" w:rsidRDefault="0013344E" w:rsidP="0013344E">
      <w:pPr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:rsidR="004839AD" w:rsidRPr="00460C97" w:rsidRDefault="004839AD" w:rsidP="004839AD">
      <w:pPr>
        <w:jc w:val="both"/>
        <w:rPr>
          <w:rFonts w:asciiTheme="majorHAnsi" w:hAnsiTheme="majorHAnsi" w:cstheme="majorHAnsi"/>
          <w:sz w:val="22"/>
          <w:szCs w:val="22"/>
          <w:highlight w:val="yellow"/>
          <w:lang w:val="hr-HR"/>
        </w:rPr>
      </w:pPr>
    </w:p>
    <w:p w:rsidR="004839AD" w:rsidRPr="00460C97" w:rsidRDefault="004839AD" w:rsidP="004839AD">
      <w:pPr>
        <w:jc w:val="both"/>
        <w:rPr>
          <w:rFonts w:asciiTheme="majorHAnsi" w:hAnsiTheme="majorHAnsi" w:cstheme="majorHAnsi"/>
          <w:i/>
          <w:color w:val="FF0000"/>
          <w:sz w:val="22"/>
          <w:szCs w:val="22"/>
          <w:highlight w:val="yellow"/>
          <w:lang w:val="hr-HR"/>
        </w:rPr>
      </w:pPr>
      <w:r w:rsidRPr="00460C97">
        <w:rPr>
          <w:rFonts w:asciiTheme="majorHAnsi" w:hAnsiTheme="majorHAnsi" w:cstheme="majorHAnsi"/>
          <w:noProof/>
          <w:highlight w:val="yellow"/>
        </w:rPr>
        <w:drawing>
          <wp:anchor distT="0" distB="0" distL="114300" distR="114300" simplePos="0" relativeHeight="251666944" behindDoc="0" locked="0" layoutInCell="1" allowOverlap="1" wp14:anchorId="2954196E" wp14:editId="1A6058F8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688965" cy="3326765"/>
            <wp:effectExtent l="1905" t="635" r="0" b="0"/>
            <wp:wrapSquare wrapText="bothSides"/>
            <wp:docPr id="7" name="Objek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44E" w:rsidRDefault="0013344E" w:rsidP="00755135">
      <w:pPr>
        <w:jc w:val="both"/>
        <w:rPr>
          <w:rFonts w:asciiTheme="majorHAnsi" w:hAnsiTheme="majorHAnsi" w:cstheme="majorHAnsi"/>
          <w:i/>
          <w:sz w:val="28"/>
          <w:szCs w:val="24"/>
          <w:lang w:val="hr-HR"/>
        </w:rPr>
      </w:pPr>
    </w:p>
    <w:p w:rsidR="00776733" w:rsidRPr="009C006E" w:rsidRDefault="00695BE7" w:rsidP="005318B6">
      <w:pPr>
        <w:pStyle w:val="Naslov"/>
        <w:numPr>
          <w:ilvl w:val="0"/>
          <w:numId w:val="23"/>
        </w:numPr>
        <w:ind w:left="426"/>
        <w:outlineLvl w:val="0"/>
        <w:rPr>
          <w:rFonts w:cstheme="majorHAnsi"/>
          <w:lang w:val="hr-HR"/>
        </w:rPr>
      </w:pPr>
      <w:bookmarkStart w:id="10" w:name="_Toc119410812"/>
      <w:r w:rsidRPr="009C006E">
        <w:rPr>
          <w:rFonts w:cstheme="majorHAnsi"/>
          <w:lang w:val="hr-HR"/>
        </w:rPr>
        <w:t>S</w:t>
      </w:r>
      <w:r w:rsidR="00312A40" w:rsidRPr="009C006E">
        <w:rPr>
          <w:rFonts w:cstheme="majorHAnsi"/>
          <w:lang w:val="hr-HR"/>
        </w:rPr>
        <w:t>TRUKTURA RASHODA I IZDRATAKA</w:t>
      </w:r>
      <w:bookmarkEnd w:id="10"/>
    </w:p>
    <w:p w:rsidR="00150CD7" w:rsidRPr="00460C97" w:rsidRDefault="00150CD7" w:rsidP="00755135">
      <w:pPr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hr-HR"/>
        </w:rPr>
      </w:pPr>
    </w:p>
    <w:p w:rsidR="00755135" w:rsidRPr="009C006E" w:rsidRDefault="00755135" w:rsidP="005318B6">
      <w:pPr>
        <w:pStyle w:val="Odlomakpopisa"/>
        <w:numPr>
          <w:ilvl w:val="1"/>
          <w:numId w:val="23"/>
        </w:numPr>
        <w:jc w:val="both"/>
        <w:outlineLvl w:val="1"/>
        <w:rPr>
          <w:rFonts w:asciiTheme="majorHAnsi" w:hAnsiTheme="majorHAnsi" w:cstheme="majorHAnsi"/>
          <w:b/>
          <w:sz w:val="32"/>
          <w:szCs w:val="24"/>
          <w:lang w:val="hr-HR"/>
        </w:rPr>
      </w:pPr>
      <w:bookmarkStart w:id="11" w:name="_Toc119410813"/>
      <w:r w:rsidRPr="009C006E">
        <w:rPr>
          <w:rFonts w:asciiTheme="majorHAnsi" w:hAnsiTheme="majorHAnsi" w:cstheme="majorHAnsi"/>
          <w:b/>
          <w:sz w:val="32"/>
          <w:szCs w:val="24"/>
          <w:lang w:val="hr-HR"/>
        </w:rPr>
        <w:t>Rashodi poslovanja</w:t>
      </w:r>
      <w:bookmarkEnd w:id="11"/>
    </w:p>
    <w:p w:rsidR="008526E3" w:rsidRPr="009C006E" w:rsidRDefault="008526E3" w:rsidP="008526E3">
      <w:pPr>
        <w:ind w:left="720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:rsidR="003F3018" w:rsidRPr="009C006E" w:rsidRDefault="00755135" w:rsidP="009414B3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4"/>
          <w:lang w:val="hr-HR" w:eastAsia="hr-HR"/>
        </w:rPr>
      </w:pPr>
      <w:r w:rsidRPr="009C006E">
        <w:rPr>
          <w:rFonts w:asciiTheme="majorHAnsi" w:hAnsiTheme="majorHAnsi" w:cstheme="majorHAnsi"/>
          <w:b/>
          <w:sz w:val="28"/>
          <w:szCs w:val="24"/>
          <w:lang w:val="hr-HR"/>
        </w:rPr>
        <w:t xml:space="preserve">Rashodi za zaposlene </w:t>
      </w:r>
      <w:r w:rsidR="00D3255E" w:rsidRPr="009C006E">
        <w:rPr>
          <w:rFonts w:asciiTheme="majorHAnsi" w:hAnsiTheme="majorHAnsi" w:cstheme="majorHAnsi"/>
          <w:sz w:val="28"/>
          <w:szCs w:val="24"/>
          <w:lang w:val="hr-HR"/>
        </w:rPr>
        <w:t>–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D3255E" w:rsidRPr="009C006E">
        <w:rPr>
          <w:rFonts w:asciiTheme="majorHAnsi" w:hAnsiTheme="majorHAnsi" w:cstheme="majorHAnsi"/>
          <w:sz w:val="28"/>
          <w:szCs w:val="24"/>
          <w:lang w:val="hr-HR"/>
        </w:rPr>
        <w:t>obuhvaćaju</w:t>
      </w:r>
      <w:r w:rsidR="00D3255E" w:rsidRPr="009C006E">
        <w:rPr>
          <w:rFonts w:asciiTheme="majorHAnsi" w:hAnsiTheme="majorHAnsi" w:cstheme="majorHAnsi"/>
          <w:b/>
          <w:sz w:val="28"/>
          <w:szCs w:val="24"/>
          <w:lang w:val="hr-HR"/>
        </w:rPr>
        <w:t xml:space="preserve"> </w:t>
      </w:r>
      <w:r w:rsidR="00034B95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plaće 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>službenika</w:t>
      </w:r>
      <w:r w:rsidR="009C006E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i namještenika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Jedinstvenog upravnog odjela</w:t>
      </w:r>
      <w:r w:rsidR="003F3018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Općine</w:t>
      </w:r>
      <w:r w:rsidR="00034B95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i zaposlene na Javnom radu,</w:t>
      </w:r>
      <w:r w:rsidR="003F3018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D3255E" w:rsidRPr="009C006E">
        <w:rPr>
          <w:rFonts w:asciiTheme="majorHAnsi" w:hAnsiTheme="majorHAnsi" w:cstheme="majorHAnsi"/>
          <w:sz w:val="28"/>
          <w:szCs w:val="24"/>
          <w:lang w:val="hr-HR"/>
        </w:rPr>
        <w:t>pripadajuće doprinose na plaće</w:t>
      </w:r>
      <w:r w:rsidR="002111C2" w:rsidRPr="009C006E">
        <w:rPr>
          <w:rFonts w:asciiTheme="majorHAnsi" w:hAnsiTheme="majorHAnsi" w:cstheme="majorHAnsi"/>
          <w:sz w:val="28"/>
          <w:szCs w:val="24"/>
          <w:lang w:val="hr-HR"/>
        </w:rPr>
        <w:t>,</w:t>
      </w:r>
      <w:r w:rsidR="00D3255E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te </w:t>
      </w:r>
      <w:r w:rsidR="003F3018" w:rsidRPr="009C006E">
        <w:rPr>
          <w:rFonts w:asciiTheme="majorHAnsi" w:hAnsiTheme="majorHAnsi" w:cstheme="majorHAnsi"/>
          <w:sz w:val="28"/>
          <w:szCs w:val="24"/>
          <w:lang w:val="hr-HR"/>
        </w:rPr>
        <w:t>ostal</w:t>
      </w:r>
      <w:r w:rsidR="007A6A63" w:rsidRPr="009C006E">
        <w:rPr>
          <w:rFonts w:asciiTheme="majorHAnsi" w:hAnsiTheme="majorHAnsi" w:cstheme="majorHAnsi"/>
          <w:sz w:val="28"/>
          <w:szCs w:val="24"/>
          <w:lang w:val="hr-HR"/>
        </w:rPr>
        <w:t>e rashode</w:t>
      </w:r>
      <w:r w:rsidR="00D3255E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za zaposlene.</w:t>
      </w:r>
      <w:r w:rsidR="003F3018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</w:p>
    <w:p w:rsidR="00727823" w:rsidRPr="009C006E" w:rsidRDefault="00727823" w:rsidP="009414B3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4"/>
          <w:lang w:val="hr-HR" w:eastAsia="hr-HR"/>
        </w:rPr>
      </w:pPr>
      <w:r w:rsidRPr="009C006E">
        <w:rPr>
          <w:rFonts w:asciiTheme="majorHAnsi" w:hAnsiTheme="majorHAnsi" w:cstheme="majorHAnsi"/>
          <w:b/>
          <w:sz w:val="28"/>
          <w:szCs w:val="24"/>
          <w:lang w:val="hr-HR"/>
        </w:rPr>
        <w:t xml:space="preserve">Materijalni rashodi </w:t>
      </w:r>
      <w:r w:rsidR="00D3255E" w:rsidRPr="009C006E">
        <w:rPr>
          <w:rFonts w:asciiTheme="majorHAnsi" w:hAnsiTheme="majorHAnsi" w:cstheme="majorHAnsi"/>
          <w:b/>
          <w:sz w:val="28"/>
          <w:szCs w:val="24"/>
          <w:lang w:val="hr-HR"/>
        </w:rPr>
        <w:t>–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D3255E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odnose se na rashode za izvršavanje programa i aktivnosti Općine, a to su: </w:t>
      </w:r>
      <w:r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>rashod</w:t>
      </w:r>
      <w:r w:rsidR="00DE4668"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>i</w:t>
      </w:r>
      <w:r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 xml:space="preserve"> za usluge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</w:t>
      </w:r>
      <w:r w:rsidR="007C39D1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koji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</w:t>
      </w:r>
      <w:r w:rsidR="00D3255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obuhvaćaju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komunalne usluge, usluge promidžbe i informiranja, usluge tekućeg i investicijskog održavanja</w:t>
      </w:r>
      <w:r w:rsidR="00DE7F2F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građevinskih objekata i opreme</w:t>
      </w:r>
      <w:r w:rsidR="00D3255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, usluge telefona i pošte, računalne usluge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i drug</w:t>
      </w:r>
      <w:r w:rsidR="00D3255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e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rashod</w:t>
      </w:r>
      <w:r w:rsidR="00D3255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e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; za održavanje 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građevinskih objekata 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lastRenderedPageBreak/>
        <w:t xml:space="preserve">u vlasništvu općine, 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zelenih površina, nerazvrstanih cesta, 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javne rasvjete, groblja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. Nadalje slijede </w:t>
      </w:r>
      <w:r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>rashodi za materijal i energiju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>, a obuhvaćaju troškove uredskog materijala, literature, sredstava za čišćenje, troškove električne energije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i plina,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sitnog inventara</w:t>
      </w:r>
      <w:r w:rsidR="00D3255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,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te troškove materijala i dijelova za održavanje 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građevinskih objekata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.  </w:t>
      </w:r>
      <w:r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 xml:space="preserve">Naknade troškova zaposlenima 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odnose se na naknade troškova prijevoza na posao i s posla, za službena putovanja i stručno usavršavanje zaposlenih</w:t>
      </w:r>
      <w:r w:rsidR="00D3255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.  </w:t>
      </w:r>
      <w:r w:rsidR="007C39D1"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>N</w:t>
      </w:r>
      <w:r w:rsidR="00EE2B3E"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 xml:space="preserve">aknade </w:t>
      </w:r>
      <w:r w:rsidR="00766B77"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 xml:space="preserve">troškova osobama izvan radnog odnosa </w:t>
      </w:r>
      <w:r w:rsidR="002111C2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su rashodi za 1/5 plaće komunalnog redara, te naknada troškova mrtvozornika</w:t>
      </w:r>
      <w:r w:rsidR="00766B77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. </w:t>
      </w:r>
      <w:r w:rsidRPr="009C006E">
        <w:rPr>
          <w:rFonts w:asciiTheme="majorHAnsi" w:hAnsiTheme="majorHAnsi" w:cstheme="majorHAnsi"/>
          <w:i/>
          <w:sz w:val="28"/>
          <w:szCs w:val="24"/>
          <w:lang w:val="hr-HR" w:eastAsia="hr-HR"/>
        </w:rPr>
        <w:t>Ostali nespomenuti rashodi poslovanja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 sastoje se od naknada za rad predstavničkih i izvršnih tijela,</w:t>
      </w:r>
      <w:r w:rsidR="00D3255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povjerenstava,</w:t>
      </w:r>
      <w:r w:rsidR="00766B77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rashoda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za repr</w:t>
      </w:r>
      <w:r w:rsidR="00766B77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ezentaciju</w:t>
      </w:r>
      <w:r w:rsidR="009C006E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,</w:t>
      </w:r>
      <w:r w:rsidR="00766B77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te 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>premije osiguranja.</w:t>
      </w:r>
    </w:p>
    <w:p w:rsidR="00727823" w:rsidRPr="009C006E" w:rsidRDefault="00727823" w:rsidP="009414B3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4"/>
          <w:lang w:val="hr-HR" w:eastAsia="hr-HR"/>
        </w:rPr>
      </w:pPr>
      <w:r w:rsidRPr="009C006E">
        <w:rPr>
          <w:rFonts w:asciiTheme="majorHAnsi" w:hAnsiTheme="majorHAnsi" w:cstheme="majorHAnsi"/>
          <w:b/>
          <w:sz w:val="28"/>
          <w:szCs w:val="24"/>
          <w:lang w:val="hr-HR"/>
        </w:rPr>
        <w:t xml:space="preserve">Financijski rashodi - 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>rashodi za usluge platnog prometa</w:t>
      </w:r>
      <w:r w:rsidR="001F5AB6" w:rsidRPr="009C006E">
        <w:rPr>
          <w:rFonts w:asciiTheme="majorHAnsi" w:hAnsiTheme="majorHAnsi" w:cstheme="majorHAnsi"/>
          <w:sz w:val="28"/>
          <w:szCs w:val="24"/>
          <w:lang w:val="hr-HR"/>
        </w:rPr>
        <w:t>, te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ostal</w:t>
      </w:r>
      <w:r w:rsidR="000512EC" w:rsidRPr="009C006E">
        <w:rPr>
          <w:rFonts w:asciiTheme="majorHAnsi" w:hAnsiTheme="majorHAnsi" w:cstheme="majorHAnsi"/>
          <w:sz w:val="28"/>
          <w:szCs w:val="24"/>
          <w:lang w:val="hr-HR"/>
        </w:rPr>
        <w:t>i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nespomenut</w:t>
      </w:r>
      <w:r w:rsidR="000512EC" w:rsidRPr="009C006E">
        <w:rPr>
          <w:rFonts w:asciiTheme="majorHAnsi" w:hAnsiTheme="majorHAnsi" w:cstheme="majorHAnsi"/>
          <w:sz w:val="28"/>
          <w:szCs w:val="24"/>
          <w:lang w:val="hr-HR"/>
        </w:rPr>
        <w:t>i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financijsk</w:t>
      </w:r>
      <w:r w:rsidR="000512EC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i 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>rashod</w:t>
      </w:r>
      <w:r w:rsidR="000512EC" w:rsidRPr="009C006E">
        <w:rPr>
          <w:rFonts w:asciiTheme="majorHAnsi" w:hAnsiTheme="majorHAnsi" w:cstheme="majorHAnsi"/>
          <w:sz w:val="28"/>
          <w:szCs w:val="24"/>
          <w:lang w:val="hr-HR"/>
        </w:rPr>
        <w:t>i</w:t>
      </w:r>
      <w:r w:rsidR="00766B77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koji nisu zasebno navedeni</w:t>
      </w:r>
      <w:r w:rsidR="009C006E">
        <w:rPr>
          <w:rFonts w:asciiTheme="majorHAnsi" w:hAnsiTheme="majorHAnsi" w:cstheme="majorHAnsi"/>
          <w:sz w:val="28"/>
          <w:szCs w:val="24"/>
          <w:lang w:val="hr-HR"/>
        </w:rPr>
        <w:t>.</w:t>
      </w:r>
    </w:p>
    <w:p w:rsidR="008874BE" w:rsidRPr="009C006E" w:rsidRDefault="008874BE" w:rsidP="009414B3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4"/>
          <w:lang w:val="hr-HR" w:eastAsia="hr-HR"/>
        </w:rPr>
      </w:pPr>
      <w:r w:rsidRPr="009C006E">
        <w:rPr>
          <w:rFonts w:asciiTheme="majorHAnsi" w:hAnsiTheme="majorHAnsi" w:cstheme="majorHAnsi"/>
          <w:b/>
          <w:sz w:val="28"/>
          <w:szCs w:val="24"/>
          <w:lang w:val="hr-HR" w:eastAsia="hr-HR"/>
        </w:rPr>
        <w:t>Pomoći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</w:t>
      </w:r>
      <w:r w:rsidR="00972F00" w:rsidRPr="009C006E">
        <w:rPr>
          <w:rFonts w:asciiTheme="majorHAnsi" w:hAnsiTheme="majorHAnsi" w:cstheme="majorHAnsi"/>
          <w:b/>
          <w:sz w:val="28"/>
          <w:szCs w:val="24"/>
          <w:lang w:val="hr-HR" w:eastAsia="hr-HR"/>
        </w:rPr>
        <w:t>dane u inozemstvo i unutar općeg proračuna</w:t>
      </w:r>
      <w:r w:rsidR="00972F00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</w:t>
      </w:r>
      <w:r w:rsidR="0043672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–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kapitalne</w:t>
      </w:r>
      <w:r w:rsidR="0043672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pomoći 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trgovačkim društvima izvan javnog sektor</w:t>
      </w:r>
      <w:r w:rsidR="00414E80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a (za produžetak vodovodne</w:t>
      </w:r>
      <w:r w:rsid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ili plinske</w:t>
      </w:r>
      <w:r w:rsidR="00414E80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mreže i Projekt BROD II.</w:t>
      </w:r>
      <w:r w:rsidR="00034B9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– Vodovod d.o.o.).</w:t>
      </w:r>
      <w:r w:rsidR="00316AB3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</w:t>
      </w:r>
    </w:p>
    <w:p w:rsidR="00727823" w:rsidRPr="009C006E" w:rsidRDefault="008874BE" w:rsidP="009414B3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4"/>
          <w:lang w:val="hr-HR" w:eastAsia="hr-HR"/>
        </w:rPr>
      </w:pPr>
      <w:r w:rsidRPr="009C006E">
        <w:rPr>
          <w:rFonts w:asciiTheme="majorHAnsi" w:hAnsiTheme="majorHAnsi" w:cstheme="majorHAnsi"/>
          <w:b/>
          <w:sz w:val="28"/>
          <w:szCs w:val="24"/>
          <w:lang w:val="hr-HR" w:eastAsia="hr-HR"/>
        </w:rPr>
        <w:t>Naknade građanima i kućanstvima</w:t>
      </w:r>
      <w:r w:rsidR="009477BA" w:rsidRPr="009C006E">
        <w:rPr>
          <w:rFonts w:asciiTheme="majorHAnsi" w:hAnsiTheme="majorHAnsi" w:cstheme="majorHAnsi"/>
          <w:b/>
          <w:sz w:val="28"/>
          <w:szCs w:val="24"/>
          <w:lang w:val="hr-HR" w:eastAsia="hr-HR"/>
        </w:rPr>
        <w:t xml:space="preserve"> na temelju osiguranja i druge naknade</w:t>
      </w:r>
      <w:r w:rsidRPr="009C006E">
        <w:rPr>
          <w:rFonts w:asciiTheme="majorHAnsi" w:hAnsiTheme="majorHAnsi" w:cstheme="majorHAnsi"/>
          <w:b/>
          <w:sz w:val="28"/>
          <w:szCs w:val="24"/>
          <w:lang w:val="hr-HR" w:eastAsia="hr-HR"/>
        </w:rPr>
        <w:t xml:space="preserve"> </w:t>
      </w:r>
      <w:r w:rsidR="008C317C" w:rsidRPr="009C006E">
        <w:rPr>
          <w:rFonts w:asciiTheme="majorHAnsi" w:hAnsiTheme="majorHAnsi" w:cstheme="majorHAnsi"/>
          <w:b/>
          <w:sz w:val="28"/>
          <w:szCs w:val="24"/>
          <w:lang w:val="hr-HR" w:eastAsia="hr-HR"/>
        </w:rPr>
        <w:t>-</w:t>
      </w:r>
      <w:r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rashodi koji se odnose na isplate u okviru </w:t>
      </w:r>
      <w:proofErr w:type="spellStart"/>
      <w:r w:rsidR="00F84044">
        <w:rPr>
          <w:rFonts w:asciiTheme="majorHAnsi" w:hAnsiTheme="majorHAnsi" w:cstheme="majorHAnsi"/>
          <w:sz w:val="28"/>
          <w:szCs w:val="24"/>
          <w:lang w:val="hr-HR" w:eastAsia="hr-HR"/>
        </w:rPr>
        <w:t>social</w:t>
      </w:r>
      <w:proofErr w:type="spellEnd"/>
      <w:r w:rsidR="00F84044">
        <w:rPr>
          <w:rFonts w:asciiTheme="majorHAnsi" w:hAnsiTheme="majorHAnsi" w:cstheme="majorHAnsi"/>
          <w:sz w:val="28"/>
          <w:szCs w:val="24"/>
          <w:lang w:val="hr-HR" w:eastAsia="hr-HR"/>
        </w:rPr>
        <w:t>.</w:t>
      </w:r>
      <w:r w:rsidR="00436725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 programa</w:t>
      </w:r>
      <w:r w:rsidR="00DB65E4" w:rsidRP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, </w:t>
      </w:r>
      <w:r w:rsidR="009C006E">
        <w:rPr>
          <w:rFonts w:asciiTheme="majorHAnsi" w:hAnsiTheme="majorHAnsi" w:cstheme="majorHAnsi"/>
          <w:sz w:val="28"/>
          <w:szCs w:val="24"/>
          <w:lang w:val="hr-HR" w:eastAsia="hr-HR"/>
        </w:rPr>
        <w:t xml:space="preserve">sufinanciranja rashoda kućanstava, </w:t>
      </w:r>
      <w:r w:rsidR="00DB65E4" w:rsidRPr="009C006E">
        <w:rPr>
          <w:rFonts w:asciiTheme="majorHAnsi" w:hAnsiTheme="majorHAnsi" w:cstheme="majorHAnsi"/>
          <w:sz w:val="28"/>
          <w:szCs w:val="24"/>
          <w:lang w:val="hr-HR" w:eastAsia="hr-HR"/>
        </w:rPr>
        <w:t>zdravstvene zaštite i obrazovanja</w:t>
      </w:r>
    </w:p>
    <w:p w:rsidR="00BE4EE5" w:rsidRPr="00F84044" w:rsidRDefault="008874BE" w:rsidP="00F84044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9C006E">
        <w:rPr>
          <w:rFonts w:asciiTheme="majorHAnsi" w:hAnsiTheme="majorHAnsi" w:cstheme="majorHAnsi"/>
          <w:b/>
          <w:sz w:val="28"/>
          <w:szCs w:val="24"/>
          <w:lang w:val="hr-HR"/>
        </w:rPr>
        <w:t xml:space="preserve">Ostali rashodi - 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>tekuće donacije za financira</w:t>
      </w:r>
      <w:r w:rsidR="00436725" w:rsidRPr="009C006E">
        <w:rPr>
          <w:rFonts w:asciiTheme="majorHAnsi" w:hAnsiTheme="majorHAnsi" w:cstheme="majorHAnsi"/>
          <w:sz w:val="28"/>
          <w:szCs w:val="24"/>
          <w:lang w:val="hr-HR"/>
        </w:rPr>
        <w:t>nje redovne djelatnosti udruga</w:t>
      </w:r>
      <w:r w:rsidR="00141EFA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i sportskih društava</w:t>
      </w:r>
      <w:r w:rsidR="00436725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u okviru </w:t>
      </w:r>
      <w:r w:rsidR="00B14049" w:rsidRPr="009C006E">
        <w:rPr>
          <w:rFonts w:asciiTheme="majorHAnsi" w:hAnsiTheme="majorHAnsi" w:cstheme="majorHAnsi"/>
          <w:sz w:val="28"/>
          <w:szCs w:val="24"/>
          <w:lang w:val="hr-HR"/>
        </w:rPr>
        <w:t>P</w:t>
      </w:r>
      <w:r w:rsidR="00141EFA" w:rsidRPr="009C006E">
        <w:rPr>
          <w:rFonts w:asciiTheme="majorHAnsi" w:hAnsiTheme="majorHAnsi" w:cstheme="majorHAnsi"/>
          <w:sz w:val="28"/>
          <w:szCs w:val="24"/>
          <w:lang w:val="hr-HR"/>
        </w:rPr>
        <w:t>rograma javnih potreba u kulturi i</w:t>
      </w:r>
      <w:r w:rsidR="00436725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sportu,</w:t>
      </w:r>
      <w:r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za financiranje rada političkih stranaka, </w:t>
      </w:r>
      <w:r w:rsidR="00C8187D" w:rsidRPr="009C006E">
        <w:rPr>
          <w:rFonts w:asciiTheme="majorHAnsi" w:hAnsiTheme="majorHAnsi" w:cstheme="majorHAnsi"/>
          <w:sz w:val="28"/>
          <w:szCs w:val="24"/>
          <w:lang w:val="hr-HR"/>
        </w:rPr>
        <w:t>te za donacije</w:t>
      </w:r>
      <w:r w:rsidR="00DB65E4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 žup</w:t>
      </w:r>
      <w:r w:rsidR="00C8187D" w:rsidRPr="009C006E">
        <w:rPr>
          <w:rFonts w:asciiTheme="majorHAnsi" w:hAnsiTheme="majorHAnsi" w:cstheme="majorHAnsi"/>
          <w:sz w:val="28"/>
          <w:szCs w:val="24"/>
          <w:lang w:val="hr-HR"/>
        </w:rPr>
        <w:t>ama na našem području</w:t>
      </w:r>
      <w:r w:rsidR="00141EFA" w:rsidRPr="009C006E">
        <w:rPr>
          <w:rFonts w:asciiTheme="majorHAnsi" w:hAnsiTheme="majorHAnsi" w:cstheme="majorHAnsi"/>
          <w:sz w:val="28"/>
          <w:szCs w:val="24"/>
          <w:lang w:val="hr-HR"/>
        </w:rPr>
        <w:t xml:space="preserve">. </w:t>
      </w:r>
    </w:p>
    <w:p w:rsidR="001E18A4" w:rsidRPr="00460C97" w:rsidRDefault="001E18A4" w:rsidP="00BE4EE5">
      <w:pPr>
        <w:ind w:left="1080"/>
        <w:jc w:val="both"/>
        <w:rPr>
          <w:rFonts w:asciiTheme="majorHAnsi" w:hAnsiTheme="majorHAnsi" w:cstheme="majorHAnsi"/>
          <w:sz w:val="28"/>
          <w:szCs w:val="24"/>
          <w:highlight w:val="yellow"/>
          <w:lang w:val="hr-HR"/>
        </w:rPr>
      </w:pPr>
    </w:p>
    <w:p w:rsidR="001E18A4" w:rsidRPr="0096071B" w:rsidRDefault="001E18A4" w:rsidP="001E18A4">
      <w:pPr>
        <w:jc w:val="both"/>
        <w:rPr>
          <w:rFonts w:asciiTheme="majorHAnsi" w:hAnsiTheme="majorHAnsi" w:cstheme="majorHAnsi"/>
          <w:b/>
          <w:i/>
          <w:sz w:val="24"/>
          <w:szCs w:val="22"/>
          <w:lang w:val="hr-HR"/>
        </w:rPr>
      </w:pPr>
      <w:r w:rsidRPr="0096071B">
        <w:rPr>
          <w:rFonts w:asciiTheme="majorHAnsi" w:hAnsiTheme="majorHAnsi" w:cstheme="majorHAnsi"/>
          <w:b/>
          <w:i/>
          <w:sz w:val="24"/>
          <w:szCs w:val="22"/>
          <w:lang w:val="hr-HR"/>
        </w:rPr>
        <w:t xml:space="preserve">PLANIRANI RASHODI POSLOVANJA ZA 2023. GODINU IZNOSE:   971.700,00 EUR  </w:t>
      </w:r>
    </w:p>
    <w:p w:rsidR="001E18A4" w:rsidRPr="0096071B" w:rsidRDefault="001E18A4" w:rsidP="001E18A4">
      <w:pPr>
        <w:jc w:val="both"/>
        <w:rPr>
          <w:rFonts w:asciiTheme="majorHAnsi" w:hAnsiTheme="majorHAnsi" w:cstheme="majorHAnsi"/>
          <w:i/>
          <w:sz w:val="22"/>
          <w:szCs w:val="22"/>
          <w:highlight w:val="yellow"/>
          <w:lang w:val="hr-HR"/>
        </w:rPr>
      </w:pPr>
      <w:r w:rsidRPr="0096071B">
        <w:rPr>
          <w:rFonts w:asciiTheme="majorHAnsi" w:hAnsiTheme="majorHAnsi" w:cstheme="majorHAnsi"/>
          <w:i/>
          <w:sz w:val="22"/>
          <w:szCs w:val="22"/>
          <w:highlight w:val="yellow"/>
          <w:lang w:val="hr-HR"/>
        </w:rPr>
        <w:t xml:space="preserve"> </w:t>
      </w:r>
    </w:p>
    <w:p w:rsidR="001E18A4" w:rsidRPr="0096071B" w:rsidRDefault="001E18A4" w:rsidP="001E18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96071B">
        <w:rPr>
          <w:rFonts w:asciiTheme="majorHAnsi" w:hAnsiTheme="majorHAnsi" w:cstheme="majorHAnsi"/>
          <w:sz w:val="24"/>
          <w:szCs w:val="24"/>
          <w:lang w:val="hr-HR"/>
        </w:rPr>
        <w:t>Rashodi za zaposlene – 153.300,00 EUR</w:t>
      </w:r>
    </w:p>
    <w:p w:rsidR="001E18A4" w:rsidRPr="0096071B" w:rsidRDefault="001E18A4" w:rsidP="001E18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96071B">
        <w:rPr>
          <w:rFonts w:asciiTheme="majorHAnsi" w:hAnsiTheme="majorHAnsi" w:cstheme="majorHAnsi"/>
          <w:sz w:val="24"/>
          <w:szCs w:val="24"/>
          <w:lang w:val="hr-HR"/>
        </w:rPr>
        <w:t>Materijalni rashodi – 438,350,00 EUR</w:t>
      </w:r>
    </w:p>
    <w:p w:rsidR="001E18A4" w:rsidRPr="0096071B" w:rsidRDefault="001E18A4" w:rsidP="001E18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96071B">
        <w:rPr>
          <w:rFonts w:asciiTheme="majorHAnsi" w:hAnsiTheme="majorHAnsi" w:cstheme="majorHAnsi"/>
          <w:sz w:val="24"/>
          <w:szCs w:val="24"/>
          <w:lang w:val="hr-HR"/>
        </w:rPr>
        <w:t>Financijski rashodi – 4.800,00 EUR</w:t>
      </w:r>
    </w:p>
    <w:p w:rsidR="001E18A4" w:rsidRPr="0096071B" w:rsidRDefault="001E18A4" w:rsidP="001E18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96071B">
        <w:rPr>
          <w:rFonts w:asciiTheme="majorHAnsi" w:hAnsiTheme="majorHAnsi" w:cstheme="majorHAnsi"/>
          <w:sz w:val="24"/>
          <w:szCs w:val="24"/>
          <w:lang w:val="hr-HR"/>
        </w:rPr>
        <w:t>Subvencije – 26.400,00 EUR</w:t>
      </w:r>
    </w:p>
    <w:p w:rsidR="001E18A4" w:rsidRPr="0096071B" w:rsidRDefault="001E18A4" w:rsidP="001E18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96071B">
        <w:rPr>
          <w:rFonts w:asciiTheme="majorHAnsi" w:hAnsiTheme="majorHAnsi" w:cstheme="majorHAnsi"/>
          <w:sz w:val="24"/>
          <w:szCs w:val="24"/>
          <w:lang w:val="hr-HR"/>
        </w:rPr>
        <w:t>Pomoći – 6.500,00 EUR</w:t>
      </w:r>
    </w:p>
    <w:p w:rsidR="001E18A4" w:rsidRPr="0096071B" w:rsidRDefault="001E18A4" w:rsidP="001E18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96071B">
        <w:rPr>
          <w:rFonts w:asciiTheme="majorHAnsi" w:hAnsiTheme="majorHAnsi" w:cstheme="majorHAnsi"/>
          <w:sz w:val="24"/>
          <w:szCs w:val="24"/>
          <w:lang w:val="hr-HR"/>
        </w:rPr>
        <w:t>Naknade građanima i kućanstvima i druge naknade – 189.000,00 EUR</w:t>
      </w:r>
    </w:p>
    <w:p w:rsidR="001E18A4" w:rsidRPr="0096071B" w:rsidRDefault="001E18A4" w:rsidP="001E18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96071B">
        <w:rPr>
          <w:rFonts w:asciiTheme="majorHAnsi" w:hAnsiTheme="majorHAnsi" w:cstheme="majorHAnsi"/>
          <w:sz w:val="24"/>
          <w:szCs w:val="24"/>
          <w:lang w:val="hr-HR"/>
        </w:rPr>
        <w:t>Ostali rashodi – 153.350,00 EUR</w:t>
      </w:r>
    </w:p>
    <w:p w:rsidR="001E18A4" w:rsidRPr="00F84044" w:rsidRDefault="001E18A4" w:rsidP="00BE4EE5">
      <w:pPr>
        <w:jc w:val="both"/>
        <w:rPr>
          <w:rFonts w:asciiTheme="majorHAnsi" w:hAnsiTheme="majorHAnsi" w:cstheme="majorHAnsi"/>
          <w:b/>
          <w:sz w:val="28"/>
          <w:szCs w:val="24"/>
          <w:highlight w:val="yellow"/>
          <w:lang w:val="hr-HR"/>
        </w:rPr>
      </w:pPr>
    </w:p>
    <w:p w:rsidR="008874BE" w:rsidRPr="00F84044" w:rsidRDefault="008874BE" w:rsidP="001E18A4">
      <w:pPr>
        <w:pStyle w:val="Naslov2"/>
        <w:numPr>
          <w:ilvl w:val="1"/>
          <w:numId w:val="23"/>
        </w:numPr>
        <w:rPr>
          <w:rFonts w:cstheme="majorHAnsi"/>
          <w:b/>
          <w:color w:val="auto"/>
          <w:sz w:val="32"/>
          <w:szCs w:val="24"/>
          <w:lang w:val="hr-HR"/>
        </w:rPr>
      </w:pPr>
      <w:bookmarkStart w:id="12" w:name="_Toc119410814"/>
      <w:r w:rsidRPr="00F84044">
        <w:rPr>
          <w:rFonts w:cstheme="majorHAnsi"/>
          <w:b/>
          <w:color w:val="auto"/>
          <w:sz w:val="32"/>
          <w:szCs w:val="24"/>
          <w:lang w:val="hr-HR"/>
        </w:rPr>
        <w:t>Rashodi za nabavu nefinancijske imovine</w:t>
      </w:r>
      <w:bookmarkEnd w:id="12"/>
    </w:p>
    <w:p w:rsidR="00421B67" w:rsidRPr="004839AD" w:rsidRDefault="00421B67" w:rsidP="00421B67">
      <w:pPr>
        <w:ind w:left="720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:rsidR="00E22D84" w:rsidRPr="004839AD" w:rsidRDefault="00DE4668" w:rsidP="009414B3">
      <w:pPr>
        <w:numPr>
          <w:ilvl w:val="0"/>
          <w:numId w:val="8"/>
        </w:numPr>
        <w:jc w:val="both"/>
        <w:rPr>
          <w:rFonts w:asciiTheme="majorHAnsi" w:hAnsiTheme="majorHAnsi" w:cstheme="majorHAnsi"/>
          <w:b/>
          <w:sz w:val="28"/>
          <w:szCs w:val="24"/>
          <w:lang w:val="hr-HR"/>
        </w:rPr>
      </w:pPr>
      <w:r w:rsidRPr="004839AD">
        <w:rPr>
          <w:rFonts w:asciiTheme="majorHAnsi" w:hAnsiTheme="majorHAnsi" w:cstheme="majorHAnsi"/>
          <w:b/>
          <w:sz w:val="28"/>
          <w:szCs w:val="24"/>
          <w:lang w:val="hr-HR"/>
        </w:rPr>
        <w:t>Rashodi za nabavu</w:t>
      </w:r>
      <w:r w:rsidR="00E22D84" w:rsidRPr="004839AD">
        <w:rPr>
          <w:rFonts w:asciiTheme="majorHAnsi" w:hAnsiTheme="majorHAnsi" w:cstheme="majorHAnsi"/>
          <w:b/>
          <w:sz w:val="28"/>
          <w:szCs w:val="24"/>
          <w:lang w:val="hr-HR"/>
        </w:rPr>
        <w:t xml:space="preserve"> proizvedene dugotrajne imovine obuhvaćaju:</w:t>
      </w:r>
    </w:p>
    <w:p w:rsidR="00E22D84" w:rsidRPr="004839AD" w:rsidRDefault="00E22D84" w:rsidP="009414B3">
      <w:pPr>
        <w:pStyle w:val="Odlomakpopisa"/>
        <w:numPr>
          <w:ilvl w:val="0"/>
          <w:numId w:val="17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rashode za nabavu </w:t>
      </w:r>
      <w:r w:rsidR="00F1737F" w:rsidRPr="004839AD">
        <w:rPr>
          <w:rFonts w:asciiTheme="majorHAnsi" w:hAnsiTheme="majorHAnsi" w:cstheme="majorHAnsi"/>
          <w:sz w:val="28"/>
          <w:szCs w:val="24"/>
          <w:lang w:val="hr-HR"/>
        </w:rPr>
        <w:t>građevinski</w:t>
      </w:r>
      <w:r w:rsidRPr="004839AD">
        <w:rPr>
          <w:rFonts w:asciiTheme="majorHAnsi" w:hAnsiTheme="majorHAnsi" w:cstheme="majorHAnsi"/>
          <w:sz w:val="28"/>
          <w:szCs w:val="24"/>
          <w:lang w:val="hr-HR"/>
        </w:rPr>
        <w:t>h</w:t>
      </w:r>
      <w:r w:rsidR="00F1737F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objek</w:t>
      </w:r>
      <w:r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ata – investicije predviđene Programom gradnje objekata i uređaja komunalne infrastrukture kao i Planom razvojnih programa Općine </w:t>
      </w:r>
      <w:r w:rsidR="00782393" w:rsidRPr="004839AD">
        <w:rPr>
          <w:rFonts w:asciiTheme="majorHAnsi" w:hAnsiTheme="majorHAnsi" w:cstheme="majorHAnsi"/>
          <w:sz w:val="28"/>
          <w:szCs w:val="24"/>
          <w:lang w:val="hr-HR"/>
        </w:rPr>
        <w:t>Gornja Vrba</w:t>
      </w:r>
      <w:r w:rsidR="00141EFA" w:rsidRPr="004839AD">
        <w:rPr>
          <w:rFonts w:asciiTheme="majorHAnsi" w:hAnsiTheme="majorHAnsi" w:cstheme="majorHAnsi"/>
          <w:sz w:val="28"/>
          <w:szCs w:val="24"/>
          <w:lang w:val="hr-HR"/>
        </w:rPr>
        <w:t>;</w:t>
      </w:r>
    </w:p>
    <w:p w:rsidR="005B6F13" w:rsidRPr="004839AD" w:rsidRDefault="00E22D84" w:rsidP="009414B3">
      <w:pPr>
        <w:pStyle w:val="Odlomakpopisa"/>
        <w:numPr>
          <w:ilvl w:val="0"/>
          <w:numId w:val="17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839AD">
        <w:rPr>
          <w:rFonts w:asciiTheme="majorHAnsi" w:hAnsiTheme="majorHAnsi" w:cstheme="majorHAnsi"/>
          <w:sz w:val="28"/>
          <w:szCs w:val="24"/>
          <w:lang w:val="hr-HR"/>
        </w:rPr>
        <w:lastRenderedPageBreak/>
        <w:t xml:space="preserve">rashode za nabavu </w:t>
      </w:r>
      <w:r w:rsidR="00DE4668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postrojenja  </w:t>
      </w:r>
      <w:r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i opreme </w:t>
      </w:r>
      <w:r w:rsidR="00B329B2" w:rsidRPr="004839AD">
        <w:rPr>
          <w:rFonts w:asciiTheme="majorHAnsi" w:hAnsiTheme="majorHAnsi" w:cstheme="majorHAnsi"/>
          <w:sz w:val="28"/>
          <w:szCs w:val="24"/>
          <w:lang w:val="hr-HR"/>
        </w:rPr>
        <w:t>–</w:t>
      </w:r>
      <w:r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C8187D" w:rsidRPr="004839AD">
        <w:rPr>
          <w:rFonts w:asciiTheme="majorHAnsi" w:hAnsiTheme="majorHAnsi" w:cstheme="majorHAnsi"/>
          <w:sz w:val="28"/>
          <w:szCs w:val="24"/>
          <w:lang w:val="hr-HR"/>
        </w:rPr>
        <w:t>(nabava opreme za potrebe rada</w:t>
      </w:r>
      <w:r w:rsidR="00B329B2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C8187D" w:rsidRPr="004839AD">
        <w:rPr>
          <w:rFonts w:asciiTheme="majorHAnsi" w:hAnsiTheme="majorHAnsi" w:cstheme="majorHAnsi"/>
          <w:sz w:val="28"/>
          <w:szCs w:val="24"/>
          <w:lang w:val="hr-HR"/>
        </w:rPr>
        <w:t>Općinske uprave</w:t>
      </w:r>
      <w:r w:rsidR="00141EFA" w:rsidRPr="004839AD">
        <w:rPr>
          <w:rFonts w:asciiTheme="majorHAnsi" w:hAnsiTheme="majorHAnsi" w:cstheme="majorHAnsi"/>
          <w:sz w:val="28"/>
          <w:szCs w:val="24"/>
          <w:lang w:val="hr-HR"/>
        </w:rPr>
        <w:t>, Civilne zaštite, opremanje društvenih domova</w:t>
      </w:r>
      <w:r w:rsidR="005B6F13" w:rsidRPr="004839AD">
        <w:rPr>
          <w:rFonts w:asciiTheme="majorHAnsi" w:hAnsiTheme="majorHAnsi" w:cstheme="majorHAnsi"/>
          <w:sz w:val="28"/>
          <w:szCs w:val="24"/>
          <w:lang w:val="hr-HR"/>
        </w:rPr>
        <w:t>)</w:t>
      </w:r>
      <w:r w:rsidR="00141EFA" w:rsidRPr="004839AD">
        <w:rPr>
          <w:rFonts w:asciiTheme="majorHAnsi" w:hAnsiTheme="majorHAnsi" w:cstheme="majorHAnsi"/>
          <w:sz w:val="28"/>
          <w:szCs w:val="24"/>
          <w:lang w:val="hr-HR"/>
        </w:rPr>
        <w:t>;</w:t>
      </w:r>
    </w:p>
    <w:p w:rsidR="00B329B2" w:rsidRDefault="00B329B2" w:rsidP="009414B3">
      <w:pPr>
        <w:pStyle w:val="Odlomakpopisa"/>
        <w:numPr>
          <w:ilvl w:val="0"/>
          <w:numId w:val="17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839AD">
        <w:rPr>
          <w:rFonts w:asciiTheme="majorHAnsi" w:hAnsiTheme="majorHAnsi" w:cstheme="majorHAnsi"/>
          <w:sz w:val="28"/>
          <w:szCs w:val="24"/>
          <w:lang w:val="hr-HR"/>
        </w:rPr>
        <w:t>rashode za nabavu nematerijalne proizvedene imovine</w:t>
      </w:r>
      <w:r w:rsidR="006A3CB9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(izrada </w:t>
      </w:r>
      <w:r w:rsidR="005B6F13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izmjena </w:t>
      </w:r>
      <w:r w:rsidR="00F42FE7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i </w:t>
      </w:r>
      <w:r w:rsidR="005B6F13" w:rsidRPr="004839AD">
        <w:rPr>
          <w:rFonts w:asciiTheme="majorHAnsi" w:hAnsiTheme="majorHAnsi" w:cstheme="majorHAnsi"/>
          <w:sz w:val="28"/>
          <w:szCs w:val="24"/>
          <w:lang w:val="hr-HR"/>
        </w:rPr>
        <w:t>dopuna prostornog plana, nabava software-a</w:t>
      </w:r>
      <w:r w:rsidR="00F42FE7" w:rsidRPr="004839AD">
        <w:rPr>
          <w:rFonts w:asciiTheme="majorHAnsi" w:hAnsiTheme="majorHAnsi" w:cstheme="majorHAnsi"/>
          <w:sz w:val="28"/>
          <w:szCs w:val="24"/>
          <w:lang w:val="hr-HR"/>
        </w:rPr>
        <w:t>)</w:t>
      </w:r>
      <w:r w:rsidR="00141EFA" w:rsidRPr="004839AD">
        <w:rPr>
          <w:rFonts w:asciiTheme="majorHAnsi" w:hAnsiTheme="majorHAnsi" w:cstheme="majorHAnsi"/>
          <w:sz w:val="28"/>
          <w:szCs w:val="24"/>
          <w:lang w:val="hr-HR"/>
        </w:rPr>
        <w:t>.</w:t>
      </w:r>
    </w:p>
    <w:p w:rsidR="00F84044" w:rsidRPr="00F84044" w:rsidRDefault="00F84044" w:rsidP="00F84044">
      <w:pPr>
        <w:jc w:val="both"/>
        <w:rPr>
          <w:rFonts w:asciiTheme="majorHAnsi" w:hAnsiTheme="majorHAnsi" w:cstheme="majorHAnsi"/>
          <w:sz w:val="28"/>
          <w:szCs w:val="24"/>
          <w:lang w:val="hr-HR"/>
        </w:rPr>
      </w:pPr>
    </w:p>
    <w:p w:rsidR="00C968DB" w:rsidRPr="004839AD" w:rsidRDefault="00B329B2" w:rsidP="00C968DB">
      <w:pPr>
        <w:pStyle w:val="Odlomakpopisa"/>
        <w:numPr>
          <w:ilvl w:val="0"/>
          <w:numId w:val="8"/>
        </w:numPr>
        <w:jc w:val="both"/>
        <w:rPr>
          <w:rFonts w:asciiTheme="majorHAnsi" w:hAnsiTheme="majorHAnsi" w:cstheme="majorHAnsi"/>
          <w:sz w:val="28"/>
          <w:szCs w:val="24"/>
          <w:lang w:val="hr-HR"/>
        </w:rPr>
      </w:pPr>
      <w:r w:rsidRPr="004839AD">
        <w:rPr>
          <w:rFonts w:asciiTheme="majorHAnsi" w:hAnsiTheme="majorHAnsi" w:cstheme="majorHAnsi"/>
          <w:b/>
          <w:sz w:val="28"/>
          <w:szCs w:val="24"/>
          <w:lang w:val="hr-HR"/>
        </w:rPr>
        <w:t>Rashodi za dodatna ulaganja na nefinancijskoj imovini</w:t>
      </w:r>
      <w:r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</w:t>
      </w:r>
      <w:r w:rsidR="006A3CB9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- </w:t>
      </w:r>
      <w:r w:rsidRPr="004839AD">
        <w:rPr>
          <w:rFonts w:asciiTheme="majorHAnsi" w:hAnsiTheme="majorHAnsi" w:cstheme="majorHAnsi"/>
          <w:sz w:val="28"/>
          <w:szCs w:val="24"/>
          <w:lang w:val="hr-HR"/>
        </w:rPr>
        <w:t>obuhvaćaju dodatna ulag</w:t>
      </w:r>
      <w:r w:rsidR="00141EFA" w:rsidRPr="004839AD">
        <w:rPr>
          <w:rFonts w:asciiTheme="majorHAnsi" w:hAnsiTheme="majorHAnsi" w:cstheme="majorHAnsi"/>
          <w:sz w:val="28"/>
          <w:szCs w:val="24"/>
          <w:lang w:val="hr-HR"/>
        </w:rPr>
        <w:t>anja na</w:t>
      </w:r>
      <w:r w:rsidR="00414E80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postojećim</w:t>
      </w:r>
      <w:r w:rsidR="00141EFA" w:rsidRPr="004839AD">
        <w:rPr>
          <w:rFonts w:asciiTheme="majorHAnsi" w:hAnsiTheme="majorHAnsi" w:cstheme="majorHAnsi"/>
          <w:sz w:val="28"/>
          <w:szCs w:val="24"/>
          <w:lang w:val="hr-HR"/>
        </w:rPr>
        <w:t xml:space="preserve"> građevinskim objektima.</w:t>
      </w:r>
    </w:p>
    <w:p w:rsidR="0096071B" w:rsidRPr="0096071B" w:rsidRDefault="0096071B" w:rsidP="00F84044">
      <w:pPr>
        <w:jc w:val="both"/>
        <w:rPr>
          <w:rFonts w:asciiTheme="majorHAnsi" w:hAnsiTheme="majorHAnsi" w:cstheme="majorHAnsi"/>
          <w:sz w:val="22"/>
          <w:szCs w:val="22"/>
          <w:highlight w:val="yellow"/>
          <w:lang w:val="hr-HR"/>
        </w:rPr>
      </w:pPr>
    </w:p>
    <w:p w:rsidR="00312490" w:rsidRPr="0096071B" w:rsidRDefault="00312490" w:rsidP="00312490">
      <w:pPr>
        <w:jc w:val="both"/>
        <w:rPr>
          <w:rFonts w:asciiTheme="majorHAnsi" w:hAnsiTheme="majorHAnsi" w:cstheme="majorHAnsi"/>
          <w:b/>
          <w:i/>
          <w:sz w:val="24"/>
          <w:szCs w:val="22"/>
          <w:lang w:val="hr-HR"/>
        </w:rPr>
      </w:pPr>
      <w:r w:rsidRPr="0096071B">
        <w:rPr>
          <w:rFonts w:asciiTheme="majorHAnsi" w:hAnsiTheme="majorHAnsi" w:cstheme="majorHAnsi"/>
          <w:b/>
          <w:i/>
          <w:sz w:val="24"/>
          <w:szCs w:val="22"/>
          <w:lang w:val="hr-HR"/>
        </w:rPr>
        <w:t>PLANIRANI RASHODI ZA NABAVU NEFINANCIJSKE IMOVINE ZA 202</w:t>
      </w:r>
      <w:r w:rsidR="00C12F1E" w:rsidRPr="0096071B">
        <w:rPr>
          <w:rFonts w:asciiTheme="majorHAnsi" w:hAnsiTheme="majorHAnsi" w:cstheme="majorHAnsi"/>
          <w:b/>
          <w:i/>
          <w:sz w:val="24"/>
          <w:szCs w:val="22"/>
          <w:lang w:val="hr-HR"/>
        </w:rPr>
        <w:t>3</w:t>
      </w:r>
      <w:r w:rsidRPr="0096071B">
        <w:rPr>
          <w:rFonts w:asciiTheme="majorHAnsi" w:hAnsiTheme="majorHAnsi" w:cstheme="majorHAnsi"/>
          <w:b/>
          <w:i/>
          <w:sz w:val="24"/>
          <w:szCs w:val="22"/>
          <w:lang w:val="hr-HR"/>
        </w:rPr>
        <w:t xml:space="preserve">. IZNOSE:  </w:t>
      </w:r>
      <w:r w:rsidR="00C12F1E" w:rsidRPr="0096071B">
        <w:rPr>
          <w:rFonts w:asciiTheme="majorHAnsi" w:hAnsiTheme="majorHAnsi" w:cstheme="majorHAnsi"/>
          <w:b/>
          <w:i/>
          <w:sz w:val="24"/>
          <w:szCs w:val="22"/>
          <w:lang w:val="hr-HR"/>
        </w:rPr>
        <w:t>660.000,00 EUR</w:t>
      </w:r>
    </w:p>
    <w:p w:rsidR="00312490" w:rsidRPr="0096071B" w:rsidRDefault="00312490" w:rsidP="00312490">
      <w:pPr>
        <w:jc w:val="both"/>
        <w:rPr>
          <w:rFonts w:asciiTheme="majorHAnsi" w:hAnsiTheme="majorHAnsi" w:cstheme="majorHAnsi"/>
          <w:i/>
          <w:sz w:val="22"/>
          <w:szCs w:val="22"/>
          <w:highlight w:val="yellow"/>
          <w:lang w:val="hr-HR"/>
        </w:rPr>
      </w:pPr>
    </w:p>
    <w:p w:rsidR="00312490" w:rsidRPr="0096071B" w:rsidRDefault="00312490" w:rsidP="00312490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96071B">
        <w:rPr>
          <w:rFonts w:asciiTheme="majorHAnsi" w:hAnsiTheme="majorHAnsi" w:cstheme="majorHAnsi"/>
          <w:sz w:val="24"/>
          <w:szCs w:val="24"/>
          <w:lang w:val="hr-HR"/>
        </w:rPr>
        <w:t xml:space="preserve">Rashodi za nabavu ne proizvedene dugotrajne imovine – </w:t>
      </w:r>
      <w:r w:rsidR="0096071B" w:rsidRPr="0096071B">
        <w:rPr>
          <w:rFonts w:asciiTheme="majorHAnsi" w:hAnsiTheme="majorHAnsi" w:cstheme="majorHAnsi"/>
          <w:sz w:val="24"/>
          <w:szCs w:val="24"/>
          <w:lang w:val="hr-HR"/>
        </w:rPr>
        <w:t>13.500,00 EUR</w:t>
      </w:r>
    </w:p>
    <w:p w:rsidR="00312490" w:rsidRPr="0096071B" w:rsidRDefault="00312490" w:rsidP="00312490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96071B">
        <w:rPr>
          <w:rFonts w:asciiTheme="majorHAnsi" w:hAnsiTheme="majorHAnsi" w:cstheme="majorHAnsi"/>
          <w:sz w:val="24"/>
          <w:szCs w:val="24"/>
          <w:lang w:val="hr-HR"/>
        </w:rPr>
        <w:t xml:space="preserve">Rashodi za nabavu proizvedene dugotrajne imovine – </w:t>
      </w:r>
      <w:r w:rsidR="0096071B" w:rsidRPr="0096071B">
        <w:rPr>
          <w:rFonts w:asciiTheme="majorHAnsi" w:hAnsiTheme="majorHAnsi" w:cstheme="majorHAnsi"/>
          <w:sz w:val="24"/>
          <w:szCs w:val="24"/>
          <w:lang w:val="hr-HR"/>
        </w:rPr>
        <w:t>621.500,00 EUR</w:t>
      </w:r>
    </w:p>
    <w:p w:rsidR="00312490" w:rsidRPr="00F84044" w:rsidRDefault="00312490" w:rsidP="00312490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96071B">
        <w:rPr>
          <w:rFonts w:asciiTheme="majorHAnsi" w:hAnsiTheme="majorHAnsi" w:cstheme="majorHAnsi"/>
          <w:sz w:val="24"/>
          <w:szCs w:val="24"/>
          <w:lang w:val="hr-HR"/>
        </w:rPr>
        <w:t xml:space="preserve">Rashodi za dodatna ulaganja – </w:t>
      </w:r>
      <w:r w:rsidR="0096071B" w:rsidRPr="0096071B">
        <w:rPr>
          <w:rFonts w:asciiTheme="majorHAnsi" w:hAnsiTheme="majorHAnsi" w:cstheme="majorHAnsi"/>
          <w:sz w:val="24"/>
          <w:szCs w:val="24"/>
          <w:lang w:val="hr-HR"/>
        </w:rPr>
        <w:t>25.000,00 EUR</w:t>
      </w:r>
    </w:p>
    <w:p w:rsidR="00312490" w:rsidRPr="00460C97" w:rsidRDefault="00312490" w:rsidP="00312490">
      <w:pPr>
        <w:jc w:val="both"/>
        <w:rPr>
          <w:rFonts w:asciiTheme="majorHAnsi" w:hAnsiTheme="majorHAnsi" w:cstheme="majorHAnsi"/>
          <w:b/>
          <w:sz w:val="22"/>
          <w:szCs w:val="22"/>
          <w:highlight w:val="yellow"/>
          <w:lang w:val="hr-HR"/>
        </w:rPr>
      </w:pPr>
    </w:p>
    <w:p w:rsidR="00312490" w:rsidRPr="00460C97" w:rsidRDefault="00312490" w:rsidP="00312490">
      <w:pPr>
        <w:jc w:val="both"/>
        <w:rPr>
          <w:rFonts w:asciiTheme="majorHAnsi" w:hAnsiTheme="majorHAnsi" w:cstheme="majorHAnsi"/>
          <w:b/>
          <w:color w:val="FF0000"/>
          <w:sz w:val="22"/>
          <w:szCs w:val="22"/>
          <w:highlight w:val="yellow"/>
          <w:lang w:val="hr-HR"/>
        </w:rPr>
      </w:pPr>
      <w:r w:rsidRPr="00460C97">
        <w:rPr>
          <w:rFonts w:asciiTheme="majorHAnsi" w:hAnsiTheme="majorHAnsi" w:cstheme="majorHAnsi"/>
          <w:noProof/>
          <w:highlight w:val="yellow"/>
        </w:rPr>
        <w:drawing>
          <wp:anchor distT="0" distB="0" distL="114300" distR="114300" simplePos="0" relativeHeight="251668992" behindDoc="0" locked="0" layoutInCell="1" allowOverlap="1" wp14:anchorId="0BD29629" wp14:editId="28D7510D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861685" cy="5529580"/>
            <wp:effectExtent l="0" t="0" r="5715" b="13970"/>
            <wp:wrapSquare wrapText="bothSides"/>
            <wp:docPr id="6" name="Objek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3" w:name="RANGE!A1:J622"/>
      <w:bookmarkEnd w:id="13"/>
    </w:p>
    <w:p w:rsidR="00FE4950" w:rsidRPr="00E44BEA" w:rsidRDefault="007863E2" w:rsidP="001E18A4">
      <w:pPr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lastRenderedPageBreak/>
        <w:t>Određeni rashodi mogu se financirati isključivo iz određenih prihoda</w:t>
      </w:r>
      <w:r w:rsidR="001E18A4">
        <w:rPr>
          <w:rFonts w:asciiTheme="majorHAnsi" w:hAnsiTheme="majorHAnsi" w:cstheme="majorHAnsi"/>
          <w:sz w:val="26"/>
          <w:szCs w:val="26"/>
          <w:lang w:val="hr-HR"/>
        </w:rPr>
        <w:t xml:space="preserve">, </w:t>
      </w:r>
      <w:r w:rsidRPr="00E44BEA">
        <w:rPr>
          <w:rFonts w:asciiTheme="majorHAnsi" w:hAnsiTheme="majorHAnsi" w:cstheme="majorHAnsi"/>
          <w:sz w:val="26"/>
          <w:szCs w:val="26"/>
          <w:lang w:val="hr-HR"/>
        </w:rPr>
        <w:t>namjenski prihodi.</w:t>
      </w:r>
    </w:p>
    <w:p w:rsidR="007863E2" w:rsidRPr="00E44BEA" w:rsidRDefault="007863E2" w:rsidP="009414B3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Prihodi od prodaje imovine </w:t>
      </w:r>
      <w:r w:rsidR="00D23936" w:rsidRPr="00E44BEA">
        <w:rPr>
          <w:rFonts w:asciiTheme="majorHAnsi" w:hAnsiTheme="majorHAnsi" w:cstheme="majorHAnsi"/>
          <w:sz w:val="26"/>
          <w:szCs w:val="26"/>
          <w:lang w:val="hr-HR"/>
        </w:rPr>
        <w:t>-</w:t>
      </w: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 koriste se za financiranje kapitalnih ulaganja </w:t>
      </w:r>
      <w:r w:rsidR="00D23936" w:rsidRPr="00E44BEA">
        <w:rPr>
          <w:rFonts w:asciiTheme="majorHAnsi" w:hAnsiTheme="majorHAnsi" w:cstheme="majorHAnsi"/>
          <w:sz w:val="26"/>
          <w:szCs w:val="26"/>
          <w:lang w:val="hr-HR"/>
        </w:rPr>
        <w:t>-</w:t>
      </w:r>
      <w:r w:rsidR="004651A3"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 investicija</w:t>
      </w:r>
      <w:r w:rsidR="00D23936" w:rsidRPr="00E44BEA">
        <w:rPr>
          <w:rFonts w:asciiTheme="majorHAnsi" w:hAnsiTheme="majorHAnsi" w:cstheme="majorHAnsi"/>
          <w:sz w:val="26"/>
          <w:szCs w:val="26"/>
          <w:lang w:val="hr-HR"/>
        </w:rPr>
        <w:t>.</w:t>
      </w:r>
    </w:p>
    <w:p w:rsidR="004651A3" w:rsidRPr="00E44BEA" w:rsidRDefault="004651A3" w:rsidP="009414B3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Komunalni doprinos </w:t>
      </w:r>
      <w:r w:rsidR="00D23936" w:rsidRPr="00E44BEA">
        <w:rPr>
          <w:rFonts w:asciiTheme="majorHAnsi" w:hAnsiTheme="majorHAnsi" w:cstheme="majorHAnsi"/>
          <w:sz w:val="26"/>
          <w:szCs w:val="26"/>
          <w:lang w:val="hr-HR"/>
        </w:rPr>
        <w:t>-</w:t>
      </w: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 koristi se za financiranje gradnje objekata i uređaja komunalne </w:t>
      </w:r>
      <w:r w:rsidR="00D405F0" w:rsidRPr="00E44BEA">
        <w:rPr>
          <w:rFonts w:asciiTheme="majorHAnsi" w:hAnsiTheme="majorHAnsi" w:cstheme="majorHAnsi"/>
          <w:sz w:val="26"/>
          <w:szCs w:val="26"/>
          <w:lang w:val="hr-HR"/>
        </w:rPr>
        <w:t>infrastruk</w:t>
      </w:r>
      <w:r w:rsidR="00D23936" w:rsidRPr="00E44BEA">
        <w:rPr>
          <w:rFonts w:asciiTheme="majorHAnsi" w:hAnsiTheme="majorHAnsi" w:cstheme="majorHAnsi"/>
          <w:sz w:val="26"/>
          <w:szCs w:val="26"/>
          <w:lang w:val="hr-HR"/>
        </w:rPr>
        <w:t>ture.</w:t>
      </w:r>
    </w:p>
    <w:p w:rsidR="004651A3" w:rsidRPr="00E44BEA" w:rsidRDefault="00D23936" w:rsidP="009414B3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Komunalna naknada - </w:t>
      </w:r>
      <w:r w:rsidR="004651A3"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koristi se za održavanje objekata i uređaja komunalne </w:t>
      </w:r>
      <w:r w:rsidR="00D405F0" w:rsidRPr="00E44BEA">
        <w:rPr>
          <w:rFonts w:asciiTheme="majorHAnsi" w:hAnsiTheme="majorHAnsi" w:cstheme="majorHAnsi"/>
          <w:sz w:val="26"/>
          <w:szCs w:val="26"/>
          <w:lang w:val="hr-HR"/>
        </w:rPr>
        <w:t>infrastruk</w:t>
      </w:r>
      <w:r w:rsidRPr="00E44BEA">
        <w:rPr>
          <w:rFonts w:asciiTheme="majorHAnsi" w:hAnsiTheme="majorHAnsi" w:cstheme="majorHAnsi"/>
          <w:sz w:val="26"/>
          <w:szCs w:val="26"/>
          <w:lang w:val="hr-HR"/>
        </w:rPr>
        <w:t>ture</w:t>
      </w:r>
      <w:r w:rsidR="001E18A4">
        <w:rPr>
          <w:rFonts w:asciiTheme="majorHAnsi" w:hAnsiTheme="majorHAnsi" w:cstheme="majorHAnsi"/>
          <w:sz w:val="26"/>
          <w:szCs w:val="26"/>
          <w:lang w:val="hr-HR"/>
        </w:rPr>
        <w:t xml:space="preserve"> </w:t>
      </w:r>
      <w:r w:rsidR="0057221E" w:rsidRPr="00E44BEA">
        <w:rPr>
          <w:rFonts w:asciiTheme="majorHAnsi" w:hAnsiTheme="majorHAnsi" w:cstheme="majorHAnsi"/>
          <w:sz w:val="26"/>
          <w:szCs w:val="26"/>
          <w:lang w:val="hr-HR"/>
        </w:rPr>
        <w:t>(ja</w:t>
      </w:r>
      <w:r w:rsidR="00D42DE4" w:rsidRPr="00E44BEA">
        <w:rPr>
          <w:rFonts w:asciiTheme="majorHAnsi" w:hAnsiTheme="majorHAnsi" w:cstheme="majorHAnsi"/>
          <w:sz w:val="26"/>
          <w:szCs w:val="26"/>
          <w:lang w:val="hr-HR"/>
        </w:rPr>
        <w:t>vna rasvjeta,</w:t>
      </w:r>
      <w:r w:rsidR="00641395"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 </w:t>
      </w:r>
      <w:r w:rsidR="0057221E" w:rsidRPr="00E44BEA">
        <w:rPr>
          <w:rFonts w:asciiTheme="majorHAnsi" w:hAnsiTheme="majorHAnsi" w:cstheme="majorHAnsi"/>
          <w:sz w:val="26"/>
          <w:szCs w:val="26"/>
          <w:lang w:val="hr-HR"/>
        </w:rPr>
        <w:t>nerazvrstane ceste,</w:t>
      </w:r>
      <w:r w:rsidR="00D42DE4"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 </w:t>
      </w:r>
      <w:r w:rsidR="00D204C1" w:rsidRPr="00E44BEA">
        <w:rPr>
          <w:rFonts w:asciiTheme="majorHAnsi" w:hAnsiTheme="majorHAnsi" w:cstheme="majorHAnsi"/>
          <w:sz w:val="26"/>
          <w:szCs w:val="26"/>
          <w:lang w:val="hr-HR"/>
        </w:rPr>
        <w:t>javne površine,</w:t>
      </w:r>
      <w:r w:rsidR="0057221E"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 poljski putevi</w:t>
      </w:r>
      <w:r w:rsidR="001E18A4">
        <w:rPr>
          <w:rFonts w:asciiTheme="majorHAnsi" w:hAnsiTheme="majorHAnsi" w:cstheme="majorHAnsi"/>
          <w:sz w:val="26"/>
          <w:szCs w:val="26"/>
          <w:lang w:val="hr-HR"/>
        </w:rPr>
        <w:t>)</w:t>
      </w:r>
    </w:p>
    <w:p w:rsidR="003F525C" w:rsidRPr="00E44BEA" w:rsidRDefault="003F525C" w:rsidP="009414B3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Naknada za zadržavanje nezakonito izgrađene zgrade u prostoru – koristi se za asfaltiranje </w:t>
      </w:r>
      <w:r w:rsidR="0057221E" w:rsidRPr="00E44BEA">
        <w:rPr>
          <w:rFonts w:asciiTheme="majorHAnsi" w:hAnsiTheme="majorHAnsi" w:cstheme="majorHAnsi"/>
          <w:sz w:val="26"/>
          <w:szCs w:val="26"/>
          <w:lang w:val="hr-HR"/>
        </w:rPr>
        <w:t>i izgradnju nerazvrstanih cesta.</w:t>
      </w:r>
    </w:p>
    <w:p w:rsidR="003F525C" w:rsidRPr="00E44BEA" w:rsidRDefault="003F525C" w:rsidP="009414B3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Koncesijska naknada </w:t>
      </w:r>
      <w:r w:rsidR="00923A60" w:rsidRPr="00E44BEA">
        <w:rPr>
          <w:rFonts w:asciiTheme="majorHAnsi" w:hAnsiTheme="majorHAnsi" w:cstheme="majorHAnsi"/>
          <w:sz w:val="26"/>
          <w:szCs w:val="26"/>
          <w:lang w:val="hr-HR"/>
        </w:rPr>
        <w:t>–</w:t>
      </w: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 koristi se za financiranje gradnje objekata i u</w:t>
      </w:r>
      <w:r w:rsidR="0057221E" w:rsidRPr="00E44BEA">
        <w:rPr>
          <w:rFonts w:asciiTheme="majorHAnsi" w:hAnsiTheme="majorHAnsi" w:cstheme="majorHAnsi"/>
          <w:sz w:val="26"/>
          <w:szCs w:val="26"/>
          <w:lang w:val="hr-HR"/>
        </w:rPr>
        <w:t>ređaja komunalne infrastrukture.</w:t>
      </w:r>
    </w:p>
    <w:p w:rsidR="0057221E" w:rsidRPr="00E44BEA" w:rsidRDefault="0057221E" w:rsidP="009414B3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t>Grobna naknada – koristi se za održavanje groblja, objekata i uređaja komunalne infrastrukture.</w:t>
      </w:r>
    </w:p>
    <w:p w:rsidR="001E18A4" w:rsidRDefault="001E18A4" w:rsidP="00641395">
      <w:pPr>
        <w:jc w:val="both"/>
        <w:rPr>
          <w:rFonts w:asciiTheme="majorHAnsi" w:hAnsiTheme="majorHAnsi" w:cstheme="majorHAnsi"/>
          <w:b/>
          <w:sz w:val="32"/>
          <w:szCs w:val="24"/>
          <w:lang w:val="hr-HR"/>
        </w:rPr>
      </w:pPr>
    </w:p>
    <w:p w:rsidR="00641395" w:rsidRPr="00F42C99" w:rsidRDefault="00F42C99" w:rsidP="00641395">
      <w:pPr>
        <w:jc w:val="both"/>
        <w:rPr>
          <w:rFonts w:asciiTheme="majorHAnsi" w:hAnsiTheme="majorHAnsi" w:cstheme="majorHAnsi"/>
          <w:b/>
          <w:sz w:val="32"/>
          <w:szCs w:val="24"/>
          <w:lang w:val="hr-HR"/>
        </w:rPr>
      </w:pPr>
      <w:r w:rsidRPr="00F42C99">
        <w:rPr>
          <w:rFonts w:asciiTheme="majorHAnsi" w:hAnsiTheme="majorHAnsi" w:cstheme="majorHAnsi"/>
          <w:b/>
          <w:sz w:val="32"/>
          <w:szCs w:val="24"/>
          <w:lang w:val="hr-HR"/>
        </w:rPr>
        <w:t>Može li</w:t>
      </w:r>
      <w:r w:rsidR="00FE4950" w:rsidRPr="00F42C99">
        <w:rPr>
          <w:rFonts w:asciiTheme="majorHAnsi" w:hAnsiTheme="majorHAnsi" w:cstheme="majorHAnsi"/>
          <w:b/>
          <w:sz w:val="32"/>
          <w:szCs w:val="24"/>
          <w:lang w:val="hr-HR"/>
        </w:rPr>
        <w:t xml:space="preserve"> se proračun mijenjati?</w:t>
      </w:r>
    </w:p>
    <w:p w:rsidR="00641395" w:rsidRPr="00F42C99" w:rsidRDefault="00641395" w:rsidP="00641395">
      <w:pPr>
        <w:jc w:val="both"/>
        <w:rPr>
          <w:rFonts w:asciiTheme="majorHAnsi" w:hAnsiTheme="majorHAnsi" w:cstheme="majorHAnsi"/>
          <w:b/>
          <w:sz w:val="16"/>
          <w:szCs w:val="12"/>
          <w:lang w:val="hr-HR"/>
        </w:rPr>
      </w:pPr>
    </w:p>
    <w:p w:rsidR="00D81415" w:rsidRPr="00F42C99" w:rsidRDefault="00FE4950" w:rsidP="0021219B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F42C99">
        <w:rPr>
          <w:rFonts w:asciiTheme="majorHAnsi" w:hAnsiTheme="majorHAnsi" w:cstheme="majorHAnsi"/>
          <w:sz w:val="26"/>
          <w:szCs w:val="26"/>
          <w:lang w:val="hr-HR"/>
        </w:rPr>
        <w:t>Proračun n</w:t>
      </w:r>
      <w:r w:rsidR="0057221E" w:rsidRPr="00F42C99">
        <w:rPr>
          <w:rFonts w:asciiTheme="majorHAnsi" w:hAnsiTheme="majorHAnsi" w:cstheme="majorHAnsi"/>
          <w:sz w:val="26"/>
          <w:szCs w:val="26"/>
          <w:lang w:val="hr-HR"/>
        </w:rPr>
        <w:t>ije „</w:t>
      </w:r>
      <w:r w:rsidR="00EE7AE9" w:rsidRPr="00F42C99">
        <w:rPr>
          <w:rFonts w:asciiTheme="majorHAnsi" w:hAnsiTheme="majorHAnsi" w:cstheme="majorHAnsi"/>
          <w:sz w:val="26"/>
          <w:szCs w:val="26"/>
          <w:lang w:val="hr-HR"/>
        </w:rPr>
        <w:t>statičan” akt već se</w:t>
      </w:r>
      <w:r w:rsidRPr="00F42C99">
        <w:rPr>
          <w:rFonts w:asciiTheme="majorHAnsi" w:hAnsiTheme="majorHAnsi" w:cstheme="majorHAnsi"/>
          <w:sz w:val="26"/>
          <w:szCs w:val="26"/>
          <w:lang w:val="hr-HR"/>
        </w:rPr>
        <w:t>, sukladno</w:t>
      </w:r>
      <w:r w:rsidR="004D47FE"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 Zakonu, može mijenjati tijekom </w:t>
      </w:r>
      <w:r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proračunske godine </w:t>
      </w:r>
      <w:r w:rsidR="004D47FE"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 </w:t>
      </w:r>
      <w:r w:rsidR="004D47FE" w:rsidRPr="00F42C99">
        <w:rPr>
          <w:rFonts w:asciiTheme="majorHAnsi" w:hAnsiTheme="majorHAnsi" w:cstheme="majorHAnsi"/>
          <w:sz w:val="26"/>
          <w:szCs w:val="26"/>
          <w:lang w:val="hr-HR"/>
        </w:rPr>
        <w:sym w:font="Wingdings" w:char="F0F0"/>
      </w:r>
      <w:r w:rsidR="00D81415"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 </w:t>
      </w:r>
      <w:r w:rsidR="001D69D6"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Izmjene i dopune Proračuna - </w:t>
      </w:r>
      <w:r w:rsidR="00D81415" w:rsidRPr="00F42C99">
        <w:rPr>
          <w:rFonts w:asciiTheme="majorHAnsi" w:hAnsiTheme="majorHAnsi" w:cstheme="majorHAnsi"/>
          <w:sz w:val="26"/>
          <w:szCs w:val="26"/>
          <w:lang w:val="hr-HR"/>
        </w:rPr>
        <w:t>„</w:t>
      </w:r>
      <w:r w:rsidR="004D47FE"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rebalans”. </w:t>
      </w:r>
    </w:p>
    <w:p w:rsidR="000C59DF" w:rsidRPr="00F42C99" w:rsidRDefault="004D47FE" w:rsidP="00641395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F42C99">
        <w:rPr>
          <w:rFonts w:asciiTheme="majorHAnsi" w:hAnsiTheme="majorHAnsi" w:cstheme="majorHAnsi"/>
          <w:sz w:val="26"/>
          <w:szCs w:val="26"/>
          <w:lang w:val="hr-HR"/>
        </w:rPr>
        <w:t>Proce</w:t>
      </w:r>
      <w:r w:rsidR="00836A42" w:rsidRPr="00F42C99">
        <w:rPr>
          <w:rFonts w:asciiTheme="majorHAnsi" w:hAnsiTheme="majorHAnsi" w:cstheme="majorHAnsi"/>
          <w:sz w:val="26"/>
          <w:szCs w:val="26"/>
          <w:lang w:val="hr-HR"/>
        </w:rPr>
        <w:t>d</w:t>
      </w:r>
      <w:r w:rsidRPr="00F42C99">
        <w:rPr>
          <w:rFonts w:asciiTheme="majorHAnsi" w:hAnsiTheme="majorHAnsi" w:cstheme="majorHAnsi"/>
          <w:sz w:val="26"/>
          <w:szCs w:val="26"/>
          <w:lang w:val="hr-HR"/>
        </w:rPr>
        <w:t>ura izmjen</w:t>
      </w:r>
      <w:r w:rsidR="00836A42" w:rsidRPr="00F42C99">
        <w:rPr>
          <w:rFonts w:asciiTheme="majorHAnsi" w:hAnsiTheme="majorHAnsi" w:cstheme="majorHAnsi"/>
          <w:sz w:val="26"/>
          <w:szCs w:val="26"/>
          <w:lang w:val="hr-HR"/>
        </w:rPr>
        <w:t>e p</w:t>
      </w:r>
      <w:r w:rsidRPr="00F42C99">
        <w:rPr>
          <w:rFonts w:asciiTheme="majorHAnsi" w:hAnsiTheme="majorHAnsi" w:cstheme="majorHAnsi"/>
          <w:sz w:val="26"/>
          <w:szCs w:val="26"/>
          <w:lang w:val="hr-HR"/>
        </w:rPr>
        <w:t>roračuna istovjetna</w:t>
      </w:r>
      <w:r w:rsidR="00AF73ED"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 je proceduri njegova donošenja,</w:t>
      </w:r>
      <w:r w:rsidR="001D69D6"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 „</w:t>
      </w:r>
      <w:r w:rsidRPr="00F42C99">
        <w:rPr>
          <w:rFonts w:asciiTheme="majorHAnsi" w:hAnsiTheme="majorHAnsi" w:cstheme="majorHAnsi"/>
          <w:sz w:val="26"/>
          <w:szCs w:val="26"/>
          <w:lang w:val="hr-HR"/>
        </w:rPr>
        <w:t xml:space="preserve">rebalans” predlaže </w:t>
      </w:r>
      <w:r w:rsidR="00D81415" w:rsidRPr="00F42C99">
        <w:rPr>
          <w:rFonts w:asciiTheme="majorHAnsi" w:hAnsiTheme="majorHAnsi" w:cstheme="majorHAnsi"/>
          <w:sz w:val="26"/>
          <w:szCs w:val="26"/>
          <w:lang w:val="hr-HR"/>
        </w:rPr>
        <w:t>Općinski n</w:t>
      </w:r>
      <w:r w:rsidRPr="00F42C99">
        <w:rPr>
          <w:rFonts w:asciiTheme="majorHAnsi" w:hAnsiTheme="majorHAnsi" w:cstheme="majorHAnsi"/>
          <w:sz w:val="26"/>
          <w:szCs w:val="26"/>
          <w:lang w:val="hr-HR"/>
        </w:rPr>
        <w:t>ačelnik, a donosi ga Općinsko vijeće.</w:t>
      </w:r>
    </w:p>
    <w:p w:rsidR="00C968DB" w:rsidRPr="00460C97" w:rsidRDefault="00C968DB" w:rsidP="00C968DB">
      <w:pPr>
        <w:jc w:val="both"/>
        <w:rPr>
          <w:rFonts w:asciiTheme="majorHAnsi" w:hAnsiTheme="majorHAnsi" w:cstheme="majorHAnsi"/>
          <w:sz w:val="26"/>
          <w:szCs w:val="26"/>
          <w:highlight w:val="yellow"/>
          <w:lang w:val="hr-HR"/>
        </w:rPr>
      </w:pPr>
    </w:p>
    <w:p w:rsidR="001E18A4" w:rsidRDefault="001E18A4" w:rsidP="00C968DB">
      <w:pPr>
        <w:jc w:val="both"/>
        <w:rPr>
          <w:rFonts w:asciiTheme="majorHAnsi" w:hAnsiTheme="majorHAnsi" w:cstheme="majorHAnsi"/>
          <w:sz w:val="26"/>
          <w:szCs w:val="26"/>
          <w:highlight w:val="yellow"/>
          <w:lang w:val="hr-HR"/>
        </w:rPr>
      </w:pPr>
    </w:p>
    <w:p w:rsidR="005318B6" w:rsidRPr="00AF3376" w:rsidRDefault="005318B6" w:rsidP="005318B6">
      <w:pPr>
        <w:jc w:val="center"/>
        <w:rPr>
          <w:rFonts w:asciiTheme="majorHAnsi" w:hAnsiTheme="majorHAnsi" w:cstheme="majorHAnsi"/>
          <w:sz w:val="36"/>
          <w:szCs w:val="24"/>
          <w:lang w:val="hr-HR"/>
        </w:rPr>
      </w:pPr>
      <w:r w:rsidRPr="00AF3376">
        <w:rPr>
          <w:rFonts w:asciiTheme="majorHAnsi" w:hAnsiTheme="majorHAnsi" w:cstheme="majorHAnsi"/>
          <w:b/>
          <w:sz w:val="36"/>
          <w:szCs w:val="24"/>
          <w:lang w:val="hr-HR"/>
        </w:rPr>
        <w:t>Važno je znati!</w:t>
      </w:r>
    </w:p>
    <w:p w:rsidR="005318B6" w:rsidRPr="00AF3376" w:rsidRDefault="005318B6" w:rsidP="005318B6">
      <w:pPr>
        <w:ind w:firstLine="720"/>
        <w:jc w:val="center"/>
        <w:rPr>
          <w:rFonts w:asciiTheme="majorHAnsi" w:hAnsiTheme="majorHAnsi" w:cstheme="majorHAnsi"/>
          <w:szCs w:val="24"/>
          <w:lang w:val="hr-HR"/>
        </w:rPr>
      </w:pPr>
    </w:p>
    <w:p w:rsidR="005318B6" w:rsidRPr="00AF3376" w:rsidRDefault="005318B6" w:rsidP="005318B6">
      <w:pPr>
        <w:ind w:left="-142" w:right="-189"/>
        <w:jc w:val="center"/>
        <w:rPr>
          <w:rFonts w:asciiTheme="majorHAnsi" w:hAnsiTheme="majorHAnsi" w:cstheme="majorHAnsi"/>
          <w:sz w:val="26"/>
          <w:szCs w:val="26"/>
          <w:lang w:val="hr-HR"/>
        </w:rPr>
      </w:pPr>
      <w:r w:rsidRPr="00AF3376">
        <w:rPr>
          <w:rFonts w:asciiTheme="majorHAnsi" w:hAnsiTheme="majorHAnsi" w:cstheme="majorHAnsi"/>
          <w:sz w:val="26"/>
          <w:szCs w:val="26"/>
          <w:lang w:val="hr-HR"/>
        </w:rPr>
        <w:t>Jedno od najvažnijih načela proračuna je da isti mora biti uravnotežen, a to znači da ukupna visina planiranih prihoda mora biti istovjetna ukupnoj visini planiranih rashoda.</w:t>
      </w:r>
    </w:p>
    <w:p w:rsidR="005318B6" w:rsidRPr="00AF3376" w:rsidRDefault="005318B6" w:rsidP="005318B6">
      <w:pPr>
        <w:ind w:firstLine="720"/>
        <w:jc w:val="both"/>
        <w:rPr>
          <w:rFonts w:asciiTheme="majorHAnsi" w:hAnsiTheme="majorHAnsi" w:cstheme="majorHAnsi"/>
          <w:sz w:val="22"/>
          <w:lang w:val="hr-HR"/>
        </w:rPr>
      </w:pPr>
    </w:p>
    <w:p w:rsidR="00F42C99" w:rsidRDefault="005318B6" w:rsidP="005318B6">
      <w:pPr>
        <w:jc w:val="center"/>
        <w:rPr>
          <w:rFonts w:asciiTheme="majorHAnsi" w:hAnsiTheme="majorHAnsi" w:cstheme="majorHAnsi"/>
          <w:sz w:val="26"/>
          <w:szCs w:val="26"/>
          <w:highlight w:val="yellow"/>
          <w:lang w:val="hr-HR"/>
        </w:rPr>
      </w:pPr>
      <w:r w:rsidRPr="00AF3376">
        <w:rPr>
          <w:rFonts w:asciiTheme="majorHAnsi" w:hAnsiTheme="majorHAnsi" w:cstheme="majorHAnsi"/>
          <w:noProof/>
          <w:sz w:val="28"/>
          <w:szCs w:val="24"/>
          <w:lang w:val="hr-HR" w:eastAsia="hr-HR"/>
        </w:rPr>
        <w:drawing>
          <wp:inline distT="0" distB="0" distL="0" distR="0" wp14:anchorId="023E9C15" wp14:editId="36F67F1C">
            <wp:extent cx="1188720" cy="1135380"/>
            <wp:effectExtent l="0" t="0" r="0" b="0"/>
            <wp:docPr id="2" name="Slika 7" descr="Slikovni rezultat za SLIKA V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Slikovni rezultat za SLIKA V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C99" w:rsidRDefault="00F42C99" w:rsidP="00C968DB">
      <w:pPr>
        <w:jc w:val="both"/>
        <w:rPr>
          <w:rFonts w:asciiTheme="majorHAnsi" w:hAnsiTheme="majorHAnsi" w:cstheme="majorHAnsi"/>
          <w:sz w:val="26"/>
          <w:szCs w:val="26"/>
          <w:highlight w:val="yellow"/>
          <w:lang w:val="hr-HR"/>
        </w:rPr>
      </w:pPr>
    </w:p>
    <w:p w:rsidR="00F42C99" w:rsidRDefault="00F42C99" w:rsidP="00C968DB">
      <w:pPr>
        <w:jc w:val="both"/>
        <w:rPr>
          <w:rFonts w:asciiTheme="majorHAnsi" w:hAnsiTheme="majorHAnsi" w:cstheme="majorHAnsi"/>
          <w:sz w:val="26"/>
          <w:szCs w:val="26"/>
          <w:highlight w:val="yellow"/>
          <w:lang w:val="hr-HR"/>
        </w:rPr>
      </w:pPr>
    </w:p>
    <w:p w:rsidR="00312490" w:rsidRDefault="00312490" w:rsidP="00312490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  <w:r w:rsidRPr="00E44BEA">
        <w:rPr>
          <w:rFonts w:asciiTheme="majorHAnsi" w:hAnsiTheme="majorHAnsi" w:cstheme="majorHAnsi"/>
          <w:sz w:val="26"/>
          <w:szCs w:val="26"/>
          <w:lang w:val="hr-HR"/>
        </w:rPr>
        <w:t xml:space="preserve">Nenamjenski prihodi ili opći prihodi (porezi, tekuće pomoći, zakupnine, prihodi od pristojbi i ostali prihodi) - koriste se za financiranje svih vrsta rashoda za potrebe Općinskog vijeća, za funkcioniranje Općine, za ekonomske poslove, za javni red i sigurnost, za pokriće nedostataka komunalnih prihoda u održavanju komunalne infrastrukture, za zaštitu okoliša, za unapređenje stanovanja i zajednice, za sufinanciranje redovnog rada udruga u kulturi, sportu, socijalnoj zaštiti; za pokroviteljstvo održavanja manifestacija kulturnog i sportskog sadržaja, za realizaciju Socijalnog programa i zdravstvene zaštite te za predškolsko, osnovnoškolsko i fakultetsko obrazovanje. </w:t>
      </w:r>
    </w:p>
    <w:p w:rsidR="00F84044" w:rsidRPr="00E44BEA" w:rsidRDefault="00F84044" w:rsidP="00312490">
      <w:pPr>
        <w:ind w:firstLine="720"/>
        <w:jc w:val="both"/>
        <w:rPr>
          <w:rFonts w:asciiTheme="majorHAnsi" w:hAnsiTheme="majorHAnsi" w:cstheme="majorHAnsi"/>
          <w:sz w:val="26"/>
          <w:szCs w:val="26"/>
          <w:lang w:val="hr-HR"/>
        </w:rPr>
      </w:pPr>
    </w:p>
    <w:p w:rsidR="00CC4B03" w:rsidRPr="00CC4B03" w:rsidRDefault="00754AFA" w:rsidP="005318B6">
      <w:pPr>
        <w:pStyle w:val="Naslov"/>
        <w:numPr>
          <w:ilvl w:val="0"/>
          <w:numId w:val="23"/>
        </w:numPr>
        <w:ind w:left="426"/>
        <w:outlineLvl w:val="0"/>
        <w:rPr>
          <w:rFonts w:cstheme="majorHAnsi"/>
          <w:lang w:val="hr-HR"/>
        </w:rPr>
      </w:pPr>
      <w:bookmarkStart w:id="14" w:name="_Toc119410815"/>
      <w:r w:rsidRPr="00460C97">
        <w:rPr>
          <w:rFonts w:cstheme="majorHAnsi"/>
          <w:lang w:val="hr-HR"/>
        </w:rPr>
        <w:t>Obrazloženje planiranih rashoda za 20</w:t>
      </w:r>
      <w:r w:rsidR="00D2117F" w:rsidRPr="00460C97">
        <w:rPr>
          <w:rFonts w:cstheme="majorHAnsi"/>
          <w:lang w:val="hr-HR"/>
        </w:rPr>
        <w:t>2</w:t>
      </w:r>
      <w:r w:rsidR="0046577D" w:rsidRPr="00460C97">
        <w:rPr>
          <w:rFonts w:cstheme="majorHAnsi"/>
          <w:lang w:val="hr-HR"/>
        </w:rPr>
        <w:t>3</w:t>
      </w:r>
      <w:r w:rsidRPr="00460C97">
        <w:rPr>
          <w:rFonts w:cstheme="majorHAnsi"/>
          <w:lang w:val="hr-HR"/>
        </w:rPr>
        <w:t>.</w:t>
      </w:r>
      <w:r w:rsidR="00894C0B" w:rsidRPr="00460C97">
        <w:rPr>
          <w:rFonts w:cstheme="majorHAnsi"/>
          <w:lang w:val="hr-HR"/>
        </w:rPr>
        <w:t>g</w:t>
      </w:r>
      <w:r w:rsidRPr="00460C97">
        <w:rPr>
          <w:rFonts w:cstheme="majorHAnsi"/>
          <w:lang w:val="hr-HR"/>
        </w:rPr>
        <w:t>od</w:t>
      </w:r>
      <w:r w:rsidR="001E18A4">
        <w:rPr>
          <w:rFonts w:cstheme="majorHAnsi"/>
          <w:lang w:val="hr-HR"/>
        </w:rPr>
        <w:t>.</w:t>
      </w:r>
      <w:r w:rsidR="00894C0B" w:rsidRPr="00460C97">
        <w:rPr>
          <w:rFonts w:cstheme="majorHAnsi"/>
          <w:lang w:val="hr-HR"/>
        </w:rPr>
        <w:t xml:space="preserve"> – POSEBNI DIO</w:t>
      </w:r>
      <w:bookmarkEnd w:id="14"/>
    </w:p>
    <w:p w:rsidR="00CC4B03" w:rsidRPr="00CC4B03" w:rsidRDefault="00CC4B03" w:rsidP="00CC4B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lang w:val="hr-HR" w:eastAsia="hr-HR"/>
        </w:rPr>
      </w:pPr>
    </w:p>
    <w:p w:rsidR="00CC4B03" w:rsidRPr="00CC4B03" w:rsidRDefault="00CC4B03" w:rsidP="00CC4B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970"/>
        <w:gridCol w:w="3453"/>
        <w:gridCol w:w="1791"/>
        <w:gridCol w:w="1727"/>
      </w:tblGrid>
      <w:tr w:rsidR="008E3617" w:rsidRPr="00600772" w:rsidTr="004F17A9">
        <w:trPr>
          <w:jc w:val="center"/>
        </w:trPr>
        <w:tc>
          <w:tcPr>
            <w:tcW w:w="5745" w:type="dxa"/>
            <w:gridSpan w:val="3"/>
            <w:tcBorders>
              <w:top w:val="nil"/>
              <w:left w:val="nil"/>
              <w:bottom w:val="double" w:sz="4" w:space="0" w:color="auto"/>
            </w:tcBorders>
          </w:tcPr>
          <w:p w:rsidR="008E3617" w:rsidRPr="00600772" w:rsidRDefault="008E3617" w:rsidP="004F17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4"/>
              </w:rPr>
            </w:pP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:rsidR="008E3617" w:rsidRPr="00912AC9" w:rsidRDefault="008E3617" w:rsidP="004F17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4"/>
              </w:rPr>
            </w:pPr>
            <w:r w:rsidRPr="00912AC9">
              <w:rPr>
                <w:rFonts w:asciiTheme="majorHAnsi" w:hAnsiTheme="majorHAnsi" w:cstheme="majorHAnsi"/>
                <w:sz w:val="22"/>
                <w:szCs w:val="24"/>
              </w:rPr>
              <w:t>Plan</w:t>
            </w:r>
            <w:r>
              <w:rPr>
                <w:rFonts w:asciiTheme="majorHAnsi" w:hAnsiTheme="majorHAnsi" w:cstheme="majorHAnsi"/>
                <w:sz w:val="22"/>
                <w:szCs w:val="24"/>
              </w:rPr>
              <w:t xml:space="preserve"> u EUR</w:t>
            </w:r>
          </w:p>
        </w:tc>
        <w:tc>
          <w:tcPr>
            <w:tcW w:w="1674" w:type="dxa"/>
            <w:tcBorders>
              <w:bottom w:val="double" w:sz="4" w:space="0" w:color="auto"/>
            </w:tcBorders>
          </w:tcPr>
          <w:p w:rsidR="008E3617" w:rsidRPr="00912AC9" w:rsidRDefault="008E3617" w:rsidP="004F17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4"/>
              </w:rPr>
            </w:pPr>
            <w:r>
              <w:rPr>
                <w:rFonts w:asciiTheme="majorHAnsi" w:hAnsiTheme="majorHAnsi" w:cstheme="majorHAnsi"/>
                <w:sz w:val="22"/>
                <w:szCs w:val="24"/>
              </w:rPr>
              <w:t>Plan u HRK</w:t>
            </w:r>
          </w:p>
        </w:tc>
      </w:tr>
      <w:tr w:rsidR="008E3617" w:rsidRPr="00600772" w:rsidTr="004F17A9">
        <w:trPr>
          <w:trHeight w:val="426"/>
          <w:jc w:val="center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E3617" w:rsidRPr="00600772" w:rsidRDefault="008E3617" w:rsidP="004F17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600772">
              <w:rPr>
                <w:rFonts w:asciiTheme="majorHAnsi" w:hAnsiTheme="majorHAnsi" w:cstheme="majorHAnsi"/>
                <w:b/>
                <w:sz w:val="26"/>
                <w:szCs w:val="26"/>
              </w:rPr>
              <w:t>RAZDJEL</w:t>
            </w:r>
          </w:p>
        </w:tc>
        <w:tc>
          <w:tcPr>
            <w:tcW w:w="9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E3617" w:rsidRPr="00600772" w:rsidRDefault="008E3617" w:rsidP="004F17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600772">
              <w:rPr>
                <w:rFonts w:asciiTheme="majorHAnsi" w:hAnsiTheme="majorHAnsi" w:cstheme="majorHAnsi"/>
                <w:b/>
                <w:sz w:val="26"/>
                <w:szCs w:val="26"/>
              </w:rPr>
              <w:t>010</w:t>
            </w:r>
          </w:p>
        </w:tc>
        <w:tc>
          <w:tcPr>
            <w:tcW w:w="34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E3617" w:rsidRPr="00600772" w:rsidRDefault="008E3617" w:rsidP="004F17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600772">
              <w:rPr>
                <w:rFonts w:asciiTheme="majorHAnsi" w:hAnsiTheme="majorHAnsi" w:cstheme="majorHAnsi"/>
                <w:b/>
                <w:sz w:val="26"/>
                <w:szCs w:val="26"/>
              </w:rPr>
              <w:t>OPĆINA GORNJA VRBA</w:t>
            </w:r>
          </w:p>
        </w:tc>
        <w:tc>
          <w:tcPr>
            <w:tcW w:w="17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E3617" w:rsidRPr="00912AC9" w:rsidRDefault="008E3617" w:rsidP="004F17A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12AC9">
              <w:rPr>
                <w:rFonts w:asciiTheme="majorHAnsi" w:hAnsiTheme="majorHAnsi" w:cstheme="majorHAnsi"/>
                <w:b/>
                <w:sz w:val="26"/>
                <w:szCs w:val="26"/>
              </w:rPr>
              <w:t>1.6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31</w:t>
            </w:r>
            <w:r w:rsidRPr="00912AC9">
              <w:rPr>
                <w:rFonts w:asciiTheme="majorHAnsi" w:hAnsiTheme="majorHAnsi" w:cstheme="majorHAnsi"/>
                <w:b/>
                <w:sz w:val="26"/>
                <w:szCs w:val="26"/>
              </w:rPr>
              <w:t>.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7</w:t>
            </w:r>
            <w:r w:rsidRPr="00912AC9">
              <w:rPr>
                <w:rFonts w:asciiTheme="majorHAnsi" w:hAnsiTheme="majorHAnsi" w:cstheme="majorHAnsi"/>
                <w:b/>
                <w:sz w:val="26"/>
                <w:szCs w:val="26"/>
              </w:rPr>
              <w:t>00,00</w:t>
            </w:r>
          </w:p>
        </w:tc>
        <w:tc>
          <w:tcPr>
            <w:tcW w:w="16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3617" w:rsidRPr="00912AC9" w:rsidRDefault="008E3617" w:rsidP="004F17A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12.294.043,65</w:t>
            </w:r>
          </w:p>
        </w:tc>
      </w:tr>
      <w:tr w:rsidR="008E3617" w:rsidRPr="00C43DF4" w:rsidTr="004F17A9">
        <w:trPr>
          <w:jc w:val="center"/>
        </w:trPr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E3617" w:rsidRPr="00600772" w:rsidRDefault="008E3617" w:rsidP="004F17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sz w:val="24"/>
                <w:szCs w:val="26"/>
              </w:rPr>
            </w:pPr>
            <w:r w:rsidRPr="00600772">
              <w:rPr>
                <w:rFonts w:asciiTheme="majorHAnsi" w:hAnsiTheme="majorHAnsi" w:cstheme="majorHAnsi"/>
                <w:b/>
                <w:sz w:val="24"/>
                <w:szCs w:val="26"/>
              </w:rPr>
              <w:t>GLAVA</w:t>
            </w:r>
          </w:p>
        </w:tc>
        <w:tc>
          <w:tcPr>
            <w:tcW w:w="976" w:type="dxa"/>
            <w:tcBorders>
              <w:bottom w:val="double" w:sz="4" w:space="0" w:color="auto"/>
            </w:tcBorders>
            <w:vAlign w:val="center"/>
          </w:tcPr>
          <w:p w:rsidR="008E3617" w:rsidRPr="00600772" w:rsidRDefault="008E3617" w:rsidP="004F17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sz w:val="24"/>
                <w:szCs w:val="26"/>
              </w:rPr>
            </w:pPr>
            <w:r w:rsidRPr="00600772">
              <w:rPr>
                <w:rFonts w:asciiTheme="majorHAnsi" w:hAnsiTheme="majorHAnsi" w:cstheme="majorHAnsi"/>
                <w:b/>
                <w:sz w:val="24"/>
                <w:szCs w:val="26"/>
              </w:rPr>
              <w:t>010-01</w:t>
            </w:r>
          </w:p>
        </w:tc>
        <w:tc>
          <w:tcPr>
            <w:tcW w:w="3493" w:type="dxa"/>
            <w:tcBorders>
              <w:bottom w:val="double" w:sz="4" w:space="0" w:color="auto"/>
            </w:tcBorders>
            <w:vAlign w:val="center"/>
          </w:tcPr>
          <w:p w:rsidR="008E3617" w:rsidRPr="00600772" w:rsidRDefault="008E3617" w:rsidP="004F17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b/>
                <w:sz w:val="24"/>
                <w:szCs w:val="26"/>
              </w:rPr>
            </w:pPr>
            <w:r w:rsidRPr="00600772">
              <w:rPr>
                <w:rFonts w:asciiTheme="majorHAnsi" w:hAnsiTheme="majorHAnsi" w:cstheme="majorHAnsi"/>
                <w:b/>
                <w:sz w:val="24"/>
                <w:szCs w:val="26"/>
              </w:rPr>
              <w:t>PROGRAM</w:t>
            </w:r>
            <w:r>
              <w:rPr>
                <w:rFonts w:asciiTheme="majorHAnsi" w:hAnsiTheme="majorHAnsi" w:cstheme="majorHAnsi"/>
                <w:b/>
                <w:sz w:val="24"/>
                <w:szCs w:val="26"/>
              </w:rPr>
              <w:t>I</w:t>
            </w:r>
            <w:r w:rsidRPr="00600772">
              <w:rPr>
                <w:rFonts w:asciiTheme="majorHAnsi" w:hAnsiTheme="majorHAnsi" w:cstheme="majorHAnsi"/>
                <w:b/>
                <w:sz w:val="24"/>
                <w:szCs w:val="26"/>
              </w:rPr>
              <w:t xml:space="preserve"> JUO, OPĆINSKOG NAČELNIKA I OPĆINSKOG VIJEĆA</w:t>
            </w:r>
          </w:p>
        </w:tc>
        <w:tc>
          <w:tcPr>
            <w:tcW w:w="1795" w:type="dxa"/>
            <w:tcBorders>
              <w:bottom w:val="double" w:sz="4" w:space="0" w:color="auto"/>
            </w:tcBorders>
            <w:vAlign w:val="center"/>
          </w:tcPr>
          <w:p w:rsidR="008E3617" w:rsidRPr="00912AC9" w:rsidRDefault="008E3617" w:rsidP="004F17A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HAnsi" w:hAnsiTheme="majorHAnsi" w:cstheme="majorHAnsi"/>
                <w:b/>
                <w:sz w:val="24"/>
                <w:szCs w:val="26"/>
              </w:rPr>
            </w:pPr>
            <w:r w:rsidRPr="00912AC9">
              <w:rPr>
                <w:rFonts w:asciiTheme="majorHAnsi" w:hAnsiTheme="majorHAnsi" w:cstheme="majorHAnsi"/>
                <w:b/>
                <w:sz w:val="24"/>
                <w:szCs w:val="26"/>
              </w:rPr>
              <w:t>1.6</w:t>
            </w:r>
            <w:r>
              <w:rPr>
                <w:rFonts w:asciiTheme="majorHAnsi" w:hAnsiTheme="majorHAnsi" w:cstheme="majorHAnsi"/>
                <w:b/>
                <w:sz w:val="24"/>
                <w:szCs w:val="26"/>
              </w:rPr>
              <w:t>3</w:t>
            </w:r>
            <w:r w:rsidRPr="00912AC9">
              <w:rPr>
                <w:rFonts w:asciiTheme="majorHAnsi" w:hAnsiTheme="majorHAnsi" w:cstheme="majorHAnsi"/>
                <w:b/>
                <w:sz w:val="24"/>
                <w:szCs w:val="26"/>
              </w:rPr>
              <w:t>1.</w:t>
            </w:r>
            <w:r>
              <w:rPr>
                <w:rFonts w:asciiTheme="majorHAnsi" w:hAnsiTheme="majorHAnsi" w:cstheme="majorHAnsi"/>
                <w:b/>
                <w:sz w:val="24"/>
                <w:szCs w:val="26"/>
              </w:rPr>
              <w:t>7</w:t>
            </w:r>
            <w:r w:rsidRPr="00912AC9">
              <w:rPr>
                <w:rFonts w:asciiTheme="majorHAnsi" w:hAnsiTheme="majorHAnsi" w:cstheme="majorHAnsi"/>
                <w:b/>
                <w:sz w:val="24"/>
                <w:szCs w:val="26"/>
              </w:rPr>
              <w:t>00,00</w:t>
            </w:r>
          </w:p>
        </w:tc>
        <w:tc>
          <w:tcPr>
            <w:tcW w:w="167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E3617" w:rsidRPr="00912AC9" w:rsidRDefault="008E3617" w:rsidP="004F17A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HAnsi" w:hAnsiTheme="majorHAnsi" w:cstheme="majorHAnsi"/>
                <w:b/>
                <w:sz w:val="24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6"/>
              </w:rPr>
              <w:t>12.294.043,65</w:t>
            </w:r>
          </w:p>
        </w:tc>
      </w:tr>
    </w:tbl>
    <w:p w:rsidR="001E18A4" w:rsidRDefault="001E18A4" w:rsidP="00CC4B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:rsidR="001E18A4" w:rsidRPr="00CC4B03" w:rsidRDefault="001E18A4" w:rsidP="00CC4B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ind w:left="1440" w:hanging="1440"/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01: JAVNA UPRAVA I ADMINISTRACIJA – 217.250,00 EUR</w:t>
      </w:r>
    </w:p>
    <w:p w:rsidR="00CC4B03" w:rsidRPr="00CC4B03" w:rsidRDefault="00CC4B03" w:rsidP="00CC4B03">
      <w:pPr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Zajednički troškovi Jedinstvenog upravnog odjela (osiguranje sredstava za financiranje rashoda za zaposlene, za materijal i energiju, rashoda za usluge (telefon, pošta, računalne usluge), naknade troškova osobama izvan radnog odnosa (komunalni redar), ostalih  nespomenutih rashoda poslovanja, te financijskih rashoda)</w:t>
      </w:r>
    </w:p>
    <w:p w:rsidR="00CC4B03" w:rsidRPr="00CC4B03" w:rsidRDefault="00CC4B03" w:rsidP="00CC4B03">
      <w:pPr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Nabava informatičke i dr. opreme za redovne potrebe Jedinstvenog upravnog odjela</w:t>
      </w:r>
    </w:p>
    <w:p w:rsidR="00CC4B03" w:rsidRPr="00CC4B03" w:rsidRDefault="00CC4B03" w:rsidP="00CC4B03">
      <w:pPr>
        <w:ind w:left="720"/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02: REDOVNA DJELATNOST TIJELA JLS – 25.000,00 EUR</w:t>
      </w:r>
    </w:p>
    <w:p w:rsidR="00CC4B03" w:rsidRPr="00CC4B03" w:rsidRDefault="00CC4B03" w:rsidP="00CC4B03">
      <w:pPr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Redovan rad Općinskog vijeća i Općinskog načelnika (osiguranje sredstava za usluge promidžbe i informiranja; naknade za rad; za reprezentaciju; rashode protokola)</w:t>
      </w: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03: SUBVENCIJE PODUZETNIŠTVU – 26.400,00 EUR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Poticanje proizvodnih djelatnosti u gospodarskoj zoni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Poticanje razvoja malih novoosnovanih gospodarstvenika (obrtnika) i poljoprivrednika na području Općine </w:t>
      </w:r>
      <w:proofErr w:type="spellStart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G.Vrba</w:t>
      </w:r>
      <w:proofErr w:type="spellEnd"/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04: PREDŠKOLSKI ODGOJ – 8.000,00 EUR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Osigurati sredstva za predškolski odgoj kroz Program „Male škole“</w:t>
      </w: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05: OSNOVNOŠKOLSTVO – 3.500,00 EUR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Osnovno školstvo poduprijeti kroz donacije Područnim školama</w:t>
      </w: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06: RAD S DJECOM S POSEBNIM POTREBAMA – 700,00 EUR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Podupiranje rada ustanova kroz donacije</w:t>
      </w: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07: POMOĆI GRAĐANIMA I KUĆANSTVIMA – 195.000,00 EUR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Nastavlja se sa potporama za novorođenu djecu i isplatama stipendija studentima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Povećava se iznos financiranje boravka djece u vrtićima, te će se u 2023.godini pokriti 100% iznosa boravka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Nastavlja se sa financijskom pomoći mladim obiteljima za kupnju ili gradnju kuće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Sufinancirat će se nabavka školskog pribora i radnih bilježnica za osnovnoškolce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Dodjeljivat će se jednokratna novčana pomoć roditeljima srednjoškolaca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I dalje će se novčano pomagati umirovljenicima za Božić i Uskrs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Sufinanciranje jednokratnih prava iz Zakona o pravima hrvatskih branitelja iz Domovinskog rata i članova njihovih obitelji</w:t>
      </w:r>
    </w:p>
    <w:p w:rsid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:rsidR="001E18A4" w:rsidRPr="00CC4B03" w:rsidRDefault="001E18A4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08: DODATNE USLUGE U ZDRAVSTVU I PREVENTIVA – 13.500,00 EUR</w:t>
      </w:r>
    </w:p>
    <w:p w:rsid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Obavljat će se proljetna i jesenska deratizacija, te dezinsekcija po potrebi</w:t>
      </w:r>
    </w:p>
    <w:p w:rsidR="00631140" w:rsidRDefault="00631140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09: ZAŠTITA ŽIVOTINJA – 9.200,00 EUR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Sufinancirat će se osnivanje i djelovanje prihvatilišta za životinje u BPŽ</w:t>
      </w: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10: ZAŠTITA OD POŽARA I CIVILNA ZAŠTITA – 26.900,00 EUR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Pružanje usluge zaštite od požara kroz redovne donacije Javnoj vatrogasnoj postrojbi 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Civilna zaštita (osiguranje sredstava za provođenje aktivnosti Civilne zaštite),</w:t>
      </w:r>
    </w:p>
    <w:p w:rsidR="00CC4B03" w:rsidRPr="00CC4B03" w:rsidRDefault="00CC4B03" w:rsidP="00CC4B03">
      <w:pPr>
        <w:numPr>
          <w:ilvl w:val="0"/>
          <w:numId w:val="13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Zaštita i spašavanje (osiguranje sredstava za tekuće donacije Hrvatskoj gorskoj službi spašavanja - Stanica Slavonski Brod)</w:t>
      </w: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11: SPORT – 80.000,00 EUR</w:t>
      </w:r>
    </w:p>
    <w:p w:rsidR="00CC4B03" w:rsidRPr="00CC4B03" w:rsidRDefault="00CC4B03" w:rsidP="00CC4B03">
      <w:pPr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Javne potrebe u sportu (podupiranje rada  i projekata udruga u sportu sukladno rezultatima natječaja, te pokroviteljstvo sportskih manifestacija)</w:t>
      </w: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12: KULTURA – 17.800,00 EUR</w:t>
      </w:r>
    </w:p>
    <w:p w:rsidR="00CC4B03" w:rsidRPr="00CC4B03" w:rsidRDefault="00CC4B03" w:rsidP="00CC4B03">
      <w:pPr>
        <w:numPr>
          <w:ilvl w:val="0"/>
          <w:numId w:val="27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javne potrebe u kulturi (donacije sredstava za rad KUD Vrba, te osiguranje sredstava za pokroviteljstvo kulturnih manifestacija i izložbi)</w:t>
      </w:r>
    </w:p>
    <w:p w:rsidR="00CC4B03" w:rsidRPr="00CC4B03" w:rsidRDefault="00CC4B03" w:rsidP="00CC4B03">
      <w:pPr>
        <w:numPr>
          <w:ilvl w:val="0"/>
          <w:numId w:val="27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obilježavanje dana Općine Gornja Vrba 22.05. </w:t>
      </w: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13: RELIGIJA – 6.000,00 EUR</w:t>
      </w:r>
    </w:p>
    <w:p w:rsidR="00CC4B03" w:rsidRPr="00CC4B03" w:rsidRDefault="00CC4B03" w:rsidP="00CC4B03">
      <w:pPr>
        <w:numPr>
          <w:ilvl w:val="0"/>
          <w:numId w:val="28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javne potrebe u religiji, suradnja s vjerskim zajednicama (donacije Župi Sv. Marka </w:t>
      </w:r>
      <w:proofErr w:type="spellStart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ev</w:t>
      </w:r>
      <w:proofErr w:type="spellEnd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. u Trnjanima za crkvu u Donjoj Vrbi i Župi Rođenja Blažene Djevice Marije u </w:t>
      </w:r>
      <w:proofErr w:type="spellStart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Ruščici</w:t>
      </w:r>
      <w:proofErr w:type="spellEnd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za crkvu u Gornjoj Vrbi)</w:t>
      </w: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14: RAD UDRUGA GRAĐANA I POLITIČKIH ORGANIZACIJA – 3.750,00 EUR</w:t>
      </w:r>
    </w:p>
    <w:p w:rsidR="00CC4B03" w:rsidRPr="00CC4B03" w:rsidRDefault="00CC4B03" w:rsidP="00CC4B03">
      <w:pPr>
        <w:numPr>
          <w:ilvl w:val="0"/>
          <w:numId w:val="28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Donacija političkim organizacijama prema sazivu Općinskog vijeća</w:t>
      </w:r>
    </w:p>
    <w:p w:rsidR="00CC4B03" w:rsidRPr="00CC4B03" w:rsidRDefault="00CC4B03" w:rsidP="00CC4B03">
      <w:pPr>
        <w:numPr>
          <w:ilvl w:val="0"/>
          <w:numId w:val="28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Pojedinačne donacije udrugama građana za aktivnosti na području Općine Gornja Vrba</w:t>
      </w: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15: ZAŠTITA OKOLIŠA – 32.000,00 EUR</w:t>
      </w:r>
    </w:p>
    <w:p w:rsidR="00CC4B03" w:rsidRPr="00CC4B03" w:rsidRDefault="00CC4B03" w:rsidP="00CC4B03">
      <w:pPr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Sanacija divljih odlagališta, sufinanciranje rada </w:t>
      </w:r>
      <w:proofErr w:type="spellStart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reciklažnog</w:t>
      </w:r>
      <w:proofErr w:type="spellEnd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dvorišta (Jakob Becker d.o.o.), te plaćanje naknade odlagalištima otpada u Županji i Novoj Gradiški za zbrinjavanje komunalnog otpada</w:t>
      </w:r>
    </w:p>
    <w:p w:rsidR="00CC4B03" w:rsidRPr="00CC4B03" w:rsidRDefault="00CC4B03" w:rsidP="00CC4B03">
      <w:pPr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Nabavka posuda za odvojeno sakupljanje otpada</w:t>
      </w: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16: ODRŽAVANJE KOMUNALNE INFRASTRUKTURE – 194.700,00 EUR</w:t>
      </w:r>
    </w:p>
    <w:p w:rsidR="00CC4B03" w:rsidRPr="00CC4B03" w:rsidRDefault="00CC4B03" w:rsidP="00CC4B03">
      <w:pPr>
        <w:numPr>
          <w:ilvl w:val="0"/>
          <w:numId w:val="30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održavanje komunalne infrastrukture (osiguranje sredstava za javnu rasvjetu – </w:t>
      </w:r>
      <w:proofErr w:type="spellStart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el.energija</w:t>
      </w:r>
      <w:proofErr w:type="spellEnd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i tekuće održavanje, održavanje groblja financira se sredstvima grobne naknade, održavanje nerazvrstanih cesta i poljskih puteva, za čišćenje snijega na istima)</w:t>
      </w:r>
    </w:p>
    <w:p w:rsidR="00CC4B03" w:rsidRPr="00CC4B03" w:rsidRDefault="00CC4B03" w:rsidP="00CC4B03">
      <w:pPr>
        <w:numPr>
          <w:ilvl w:val="0"/>
          <w:numId w:val="30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sanacija postojećih nerazvrstanih cesta koje su u lošem stanju</w:t>
      </w:r>
    </w:p>
    <w:p w:rsidR="00CC4B03" w:rsidRPr="00CC4B03" w:rsidRDefault="00CC4B03" w:rsidP="00CC4B03">
      <w:pPr>
        <w:numPr>
          <w:ilvl w:val="0"/>
          <w:numId w:val="30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nabavka i postavljanje natpisnih ploča i urbanog </w:t>
      </w:r>
      <w:proofErr w:type="spellStart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mobilijara</w:t>
      </w:r>
      <w:proofErr w:type="spellEnd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(prigodno ukrašavanje)</w:t>
      </w: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17: IZGRADNJA OBJEKATA KOMUNALNE INFRASTRUKTURE – 334.500,00 EUR</w:t>
      </w:r>
    </w:p>
    <w:p w:rsidR="00CC4B03" w:rsidRPr="00CC4B03" w:rsidRDefault="00CC4B03" w:rsidP="00CC4B03">
      <w:pPr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osiguranje zemljišta za izgradnju objekata komunalne infrastrukture </w:t>
      </w:r>
    </w:p>
    <w:p w:rsidR="00CC4B03" w:rsidRPr="00CC4B03" w:rsidRDefault="00CC4B03" w:rsidP="00CC4B03">
      <w:pPr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lastRenderedPageBreak/>
        <w:t xml:space="preserve">izgradnja objekata i uređenje komunalne infrastrukture u svim mjestima općine poboljšala bi životne uvjete zajednice – sredstva bi se osigurala za izgradnju energetski učinkovite javne rasvjete, nove staze i nogostupa, biciklističke staze, izgradnja cesta (produžetak Ulice 108.brigade, </w:t>
      </w:r>
      <w:proofErr w:type="spellStart"/>
      <w:r w:rsidRPr="00CC4B03">
        <w:rPr>
          <w:rFonts w:asciiTheme="majorHAnsi" w:hAnsiTheme="majorHAnsi" w:cstheme="majorHAnsi"/>
          <w:sz w:val="24"/>
          <w:lang w:val="hr-HR" w:eastAsia="hr-HR"/>
        </w:rPr>
        <w:t>Bl.Alojzija</w:t>
      </w:r>
      <w:proofErr w:type="spellEnd"/>
      <w:r w:rsidRPr="00CC4B03">
        <w:rPr>
          <w:rFonts w:asciiTheme="majorHAnsi" w:hAnsiTheme="majorHAnsi" w:cstheme="majorHAnsi"/>
          <w:sz w:val="24"/>
          <w:lang w:val="hr-HR" w:eastAsia="hr-HR"/>
        </w:rPr>
        <w:t xml:space="preserve"> Stepinca, 22.svibnja i produžetak Savske u Gornjoj Vrbi</w:t>
      </w: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)</w:t>
      </w:r>
    </w:p>
    <w:p w:rsidR="00CC4B03" w:rsidRPr="00CC4B03" w:rsidRDefault="00CC4B03" w:rsidP="00CC4B03">
      <w:pPr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Kapitalnim pomoćima TD Vodovod d.o.o. proširujemo postojeću kanalizacijsku i vodovodnu mrežu, te doznakama sredstava sudjelujemo na izgradnji Projekta BROD II</w:t>
      </w: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highlight w:val="yellow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18: GRAĐEVINSKI OBJEKTI I JAVNE POVRŠINE – 378.500,00 EUR</w:t>
      </w:r>
    </w:p>
    <w:p w:rsidR="00CC4B03" w:rsidRPr="00CC4B03" w:rsidRDefault="00CC4B03" w:rsidP="00CC4B03">
      <w:pPr>
        <w:numPr>
          <w:ilvl w:val="0"/>
          <w:numId w:val="32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održavanje i izgradnja postojećih građevinskih objekata – Društvenih domova kulture, završetak pješačkog prijelaza preko pruge na Klisu, nastavak radova na groblju u Gornjoj Vrbi radi njegova stavljanja u funkciju, </w:t>
      </w:r>
    </w:p>
    <w:p w:rsidR="00CC4B03" w:rsidRPr="00CC4B03" w:rsidRDefault="00CC4B03" w:rsidP="00CC4B03">
      <w:pPr>
        <w:numPr>
          <w:ilvl w:val="0"/>
          <w:numId w:val="32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izgradnju novih objekata (Tribina na igralištu u Donjoj Vrbi, početak izgradnje Biciklističke staze od Donje Vrbe do Slavonskog Broda – projektna dokumentacija, </w:t>
      </w:r>
      <w:r w:rsidRPr="00CC4B03">
        <w:rPr>
          <w:rFonts w:asciiTheme="majorHAnsi" w:hAnsiTheme="majorHAnsi" w:cstheme="majorHAnsi"/>
          <w:sz w:val="24"/>
          <w:lang w:val="hr-HR" w:eastAsia="hr-HR"/>
        </w:rPr>
        <w:t xml:space="preserve">izgradnja </w:t>
      </w: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semafora sa usporivačima brzine kod škole u Gornjoj Vrbi, uređenje sportsko-rekreacijskog zemljišta južno od sjeverne gospodarske zone u Gornjoj Vrbi, izgradnja nogostupa u Ulici Zvonka </w:t>
      </w:r>
      <w:proofErr w:type="spellStart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Žuljevića</w:t>
      </w:r>
      <w:proofErr w:type="spellEnd"/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 xml:space="preserve"> u Donjoj Vrbi)</w:t>
      </w:r>
    </w:p>
    <w:p w:rsidR="00CC4B03" w:rsidRPr="00CC4B03" w:rsidRDefault="00CC4B03" w:rsidP="00CC4B03">
      <w:pPr>
        <w:numPr>
          <w:ilvl w:val="0"/>
          <w:numId w:val="32"/>
        </w:numPr>
        <w:jc w:val="both"/>
        <w:rPr>
          <w:rFonts w:asciiTheme="majorHAnsi" w:hAnsiTheme="majorHAnsi" w:cstheme="majorHAnsi"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u planu je postavljanje rasvjete na ŠRC „Goran Jurić“ u Gornjoj Vrbi</w:t>
      </w:r>
    </w:p>
    <w:p w:rsidR="00CC4B03" w:rsidRPr="00CC4B03" w:rsidRDefault="00CC4B03" w:rsidP="00CC4B03">
      <w:pPr>
        <w:rPr>
          <w:rFonts w:asciiTheme="majorHAnsi" w:hAnsiTheme="majorHAnsi" w:cstheme="majorHAnsi"/>
          <w:sz w:val="24"/>
          <w:szCs w:val="24"/>
          <w:lang w:val="hr-HR" w:eastAsia="hr-HR"/>
        </w:rPr>
      </w:pPr>
    </w:p>
    <w:p w:rsidR="00CC4B03" w:rsidRPr="00CC4B03" w:rsidRDefault="00CC4B03" w:rsidP="00CC4B03">
      <w:pPr>
        <w:ind w:left="1440" w:hanging="1440"/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19: „ZAŽELI II – OPĆINA GORNJA VRBA“,</w:t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ab/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ab/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ab/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ab/>
      </w: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ab/>
        <w:t xml:space="preserve">     </w:t>
      </w:r>
      <w:r w:rsidR="00A464B2" w:rsidRPr="004E15CC">
        <w:rPr>
          <w:rFonts w:asciiTheme="majorHAnsi" w:hAnsiTheme="majorHAnsi" w:cstheme="majorHAnsi"/>
          <w:b/>
          <w:sz w:val="24"/>
          <w:szCs w:val="24"/>
        </w:rPr>
        <w:t xml:space="preserve">PROGRAM ZAPOŠLJAVANJA ŽENA – </w:t>
      </w:r>
      <w:r w:rsidR="00A464B2">
        <w:rPr>
          <w:rFonts w:asciiTheme="majorHAnsi" w:hAnsiTheme="majorHAnsi" w:cstheme="majorHAnsi"/>
          <w:b/>
          <w:sz w:val="24"/>
          <w:szCs w:val="24"/>
        </w:rPr>
        <w:t>48.500,00 EUR</w:t>
      </w:r>
    </w:p>
    <w:p w:rsidR="00CC4B03" w:rsidRPr="00CC4B03" w:rsidRDefault="00CC4B03" w:rsidP="00CC4B03">
      <w:pPr>
        <w:numPr>
          <w:ilvl w:val="0"/>
          <w:numId w:val="33"/>
        </w:num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Nastavlja se program zapošljavanja žena „Zaželi – Općina Gornja Vrba“, financiran iz Europskog socijalnog fonda</w:t>
      </w: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</w:p>
    <w:p w:rsidR="00CC4B03" w:rsidRPr="00CC4B03" w:rsidRDefault="00CC4B03" w:rsidP="00CC4B03">
      <w:p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b/>
          <w:sz w:val="24"/>
          <w:szCs w:val="24"/>
          <w:lang w:val="hr-HR" w:eastAsia="hr-HR"/>
        </w:rPr>
        <w:t>PROGRAM 20: PROGRAM JAVNIH RADOVA – 10.500,00 EUR</w:t>
      </w:r>
    </w:p>
    <w:p w:rsidR="00CC4B03" w:rsidRPr="00CC4B03" w:rsidRDefault="00CC4B03" w:rsidP="00CC4B03">
      <w:pPr>
        <w:numPr>
          <w:ilvl w:val="0"/>
          <w:numId w:val="33"/>
        </w:numPr>
        <w:jc w:val="both"/>
        <w:rPr>
          <w:rFonts w:asciiTheme="majorHAnsi" w:hAnsiTheme="majorHAnsi" w:cstheme="majorHAnsi"/>
          <w:b/>
          <w:sz w:val="24"/>
          <w:szCs w:val="24"/>
          <w:lang w:val="hr-HR" w:eastAsia="hr-HR"/>
        </w:rPr>
      </w:pPr>
      <w:r w:rsidRPr="00CC4B03">
        <w:rPr>
          <w:rFonts w:asciiTheme="majorHAnsi" w:hAnsiTheme="majorHAnsi" w:cstheme="majorHAnsi"/>
          <w:sz w:val="24"/>
          <w:szCs w:val="24"/>
          <w:lang w:val="hr-HR" w:eastAsia="hr-HR"/>
        </w:rPr>
        <w:t>Planira se zapošljavanje osoba u Programu javnih radova – društveno koristan rad</w:t>
      </w:r>
    </w:p>
    <w:p w:rsidR="00BF0D25" w:rsidRPr="00460C97" w:rsidRDefault="00BF0D25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3164E9" w:rsidRDefault="003164E9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631140" w:rsidRPr="00460C97" w:rsidRDefault="00631140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5E1A2F" w:rsidRDefault="005E1A2F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F84044" w:rsidRPr="00460C97" w:rsidRDefault="00F84044" w:rsidP="008E136D">
      <w:pPr>
        <w:pStyle w:val="Default"/>
        <w:rPr>
          <w:rFonts w:asciiTheme="majorHAnsi" w:hAnsiTheme="majorHAnsi" w:cstheme="majorHAnsi"/>
          <w:b/>
          <w:bCs/>
          <w:highlight w:val="yellow"/>
        </w:rPr>
      </w:pPr>
    </w:p>
    <w:p w:rsidR="008E136D" w:rsidRPr="00460C97" w:rsidRDefault="008E136D" w:rsidP="005318B6">
      <w:pPr>
        <w:pStyle w:val="Naslov"/>
        <w:numPr>
          <w:ilvl w:val="0"/>
          <w:numId w:val="23"/>
        </w:numPr>
        <w:outlineLvl w:val="0"/>
        <w:rPr>
          <w:rFonts w:cstheme="majorHAnsi"/>
        </w:rPr>
      </w:pPr>
      <w:bookmarkStart w:id="15" w:name="_Toc119410816"/>
      <w:r w:rsidRPr="00460C97">
        <w:rPr>
          <w:rFonts w:cstheme="majorHAnsi"/>
        </w:rPr>
        <w:t>ZAKLJUČAK</w:t>
      </w:r>
      <w:bookmarkEnd w:id="15"/>
      <w:r w:rsidRPr="00460C97">
        <w:rPr>
          <w:rFonts w:cstheme="majorHAnsi"/>
        </w:rPr>
        <w:t xml:space="preserve"> </w:t>
      </w:r>
    </w:p>
    <w:p w:rsidR="002F59E9" w:rsidRPr="00460C97" w:rsidRDefault="002F59E9" w:rsidP="008E136D">
      <w:pPr>
        <w:pStyle w:val="Default"/>
        <w:jc w:val="both"/>
        <w:rPr>
          <w:rFonts w:asciiTheme="majorHAnsi" w:hAnsiTheme="majorHAnsi" w:cstheme="majorHAnsi"/>
        </w:rPr>
      </w:pPr>
    </w:p>
    <w:p w:rsidR="008E136D" w:rsidRPr="00460C97" w:rsidRDefault="008E136D" w:rsidP="008E136D">
      <w:pPr>
        <w:pStyle w:val="Default"/>
        <w:jc w:val="both"/>
        <w:rPr>
          <w:rFonts w:asciiTheme="majorHAnsi" w:hAnsiTheme="majorHAnsi" w:cstheme="majorHAnsi"/>
        </w:rPr>
      </w:pPr>
      <w:r w:rsidRPr="00460C97">
        <w:rPr>
          <w:rFonts w:asciiTheme="majorHAnsi" w:hAnsiTheme="majorHAnsi" w:cstheme="majorHAnsi"/>
        </w:rPr>
        <w:t xml:space="preserve">Prikupljene prihode, te višak prihoda iz prethodne godine općinske vlasti koriste za unapređenje kvalitete života građana na svom području. To se odnosi na uređenje naselja i stanovanja, brigu o djeci, socijalnu skrb, obrazovanje, sport, kulturu, zaštitu okoliša, civilnu zaštitu, promet i ostalo. </w:t>
      </w:r>
    </w:p>
    <w:p w:rsidR="0006113D" w:rsidRPr="00460C97" w:rsidRDefault="0006113D" w:rsidP="008E136D">
      <w:pPr>
        <w:pStyle w:val="Default"/>
        <w:jc w:val="both"/>
        <w:rPr>
          <w:rFonts w:asciiTheme="majorHAnsi" w:hAnsiTheme="majorHAnsi" w:cstheme="majorHAnsi"/>
        </w:rPr>
      </w:pPr>
    </w:p>
    <w:p w:rsidR="008E136D" w:rsidRPr="00460C97" w:rsidRDefault="008E136D" w:rsidP="008E136D">
      <w:pPr>
        <w:pStyle w:val="Default"/>
        <w:jc w:val="both"/>
        <w:rPr>
          <w:rFonts w:asciiTheme="majorHAnsi" w:hAnsiTheme="majorHAnsi" w:cstheme="majorHAnsi"/>
        </w:rPr>
      </w:pPr>
      <w:r w:rsidRPr="00460C97">
        <w:rPr>
          <w:rFonts w:asciiTheme="majorHAnsi" w:hAnsiTheme="majorHAnsi" w:cstheme="majorHAnsi"/>
        </w:rPr>
        <w:t xml:space="preserve">Ovaj Vodič za građane izrađen je zbog izgradnje međusobnog povjerenja koje treba voditi aktivnijem uključivanju građana u proces upravljanja, a time i do unapređenja funkcioniranja lokalne samouprave koja bi potrebe građana uskladila s proračunskim politikama i alokacijama. </w:t>
      </w:r>
    </w:p>
    <w:p w:rsidR="008E136D" w:rsidRPr="00460C97" w:rsidRDefault="008E136D" w:rsidP="008E136D">
      <w:pPr>
        <w:pStyle w:val="Default"/>
        <w:rPr>
          <w:rFonts w:asciiTheme="majorHAnsi" w:hAnsiTheme="majorHAnsi" w:cstheme="majorHAnsi"/>
          <w:sz w:val="23"/>
          <w:szCs w:val="23"/>
          <w:highlight w:val="yellow"/>
        </w:rPr>
      </w:pPr>
    </w:p>
    <w:p w:rsidR="008E136D" w:rsidRPr="00460C97" w:rsidRDefault="008E136D" w:rsidP="008E136D">
      <w:pPr>
        <w:pStyle w:val="Default"/>
        <w:rPr>
          <w:rFonts w:asciiTheme="majorHAnsi" w:hAnsiTheme="majorHAnsi" w:cstheme="majorHAnsi"/>
          <w:sz w:val="23"/>
          <w:szCs w:val="23"/>
          <w:highlight w:val="yellow"/>
        </w:rPr>
      </w:pPr>
    </w:p>
    <w:p w:rsidR="00945043" w:rsidRPr="00460C97" w:rsidRDefault="00945043" w:rsidP="008E136D">
      <w:pPr>
        <w:pStyle w:val="Default"/>
        <w:rPr>
          <w:rFonts w:asciiTheme="majorHAnsi" w:hAnsiTheme="majorHAnsi" w:cstheme="majorHAnsi"/>
          <w:sz w:val="23"/>
          <w:szCs w:val="23"/>
          <w:highlight w:val="yellow"/>
        </w:rPr>
      </w:pPr>
    </w:p>
    <w:p w:rsidR="008E136D" w:rsidRPr="00460C97" w:rsidRDefault="008E136D" w:rsidP="005318B6">
      <w:pPr>
        <w:pStyle w:val="Naslov"/>
        <w:numPr>
          <w:ilvl w:val="0"/>
          <w:numId w:val="23"/>
        </w:numPr>
        <w:outlineLvl w:val="0"/>
        <w:rPr>
          <w:rFonts w:cstheme="majorHAnsi"/>
        </w:rPr>
      </w:pPr>
      <w:bookmarkStart w:id="16" w:name="_Toc119410817"/>
      <w:r w:rsidRPr="00460C97">
        <w:rPr>
          <w:rFonts w:cstheme="majorHAnsi"/>
        </w:rPr>
        <w:t>KONTAKTI I KORISNE INFORMACIJE</w:t>
      </w:r>
      <w:bookmarkEnd w:id="16"/>
      <w:r w:rsidRPr="00460C97">
        <w:rPr>
          <w:rFonts w:cstheme="majorHAnsi"/>
        </w:rPr>
        <w:t xml:space="preserve"> </w:t>
      </w:r>
    </w:p>
    <w:p w:rsidR="008E136D" w:rsidRPr="00460C97" w:rsidRDefault="008E136D" w:rsidP="008E136D">
      <w:pPr>
        <w:pStyle w:val="Default"/>
        <w:rPr>
          <w:rFonts w:asciiTheme="majorHAnsi" w:hAnsiTheme="majorHAnsi" w:cstheme="majorHAnsi"/>
          <w:sz w:val="28"/>
          <w:szCs w:val="28"/>
        </w:rPr>
      </w:pPr>
    </w:p>
    <w:p w:rsidR="008E136D" w:rsidRPr="00460C97" w:rsidRDefault="00973FC5" w:rsidP="008E136D">
      <w:pPr>
        <w:pStyle w:val="Default"/>
        <w:rPr>
          <w:rFonts w:asciiTheme="majorHAnsi" w:hAnsiTheme="majorHAnsi" w:cstheme="majorHAnsi"/>
          <w:b/>
          <w:sz w:val="23"/>
          <w:szCs w:val="23"/>
        </w:rPr>
      </w:pPr>
      <w:r w:rsidRPr="00460C97">
        <w:rPr>
          <w:rFonts w:asciiTheme="majorHAnsi" w:hAnsiTheme="majorHAnsi" w:cstheme="majorHAnsi"/>
          <w:b/>
          <w:sz w:val="23"/>
          <w:szCs w:val="23"/>
        </w:rPr>
        <w:t>OPĆINA GORNJA VRBA</w:t>
      </w:r>
    </w:p>
    <w:p w:rsidR="00B41078" w:rsidRPr="00460C97" w:rsidRDefault="00973FC5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460C97">
        <w:rPr>
          <w:rFonts w:asciiTheme="majorHAnsi" w:hAnsiTheme="majorHAnsi" w:cstheme="majorHAnsi"/>
          <w:sz w:val="23"/>
          <w:szCs w:val="23"/>
        </w:rPr>
        <w:t>BRAĆE RADIĆ 1</w:t>
      </w:r>
    </w:p>
    <w:p w:rsidR="00973FC5" w:rsidRPr="00460C97" w:rsidRDefault="00973FC5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460C97">
        <w:rPr>
          <w:rFonts w:asciiTheme="majorHAnsi" w:hAnsiTheme="majorHAnsi" w:cstheme="majorHAnsi"/>
          <w:sz w:val="23"/>
          <w:szCs w:val="23"/>
        </w:rPr>
        <w:t>GORNJA VRBA</w:t>
      </w:r>
    </w:p>
    <w:p w:rsidR="008E136D" w:rsidRPr="00460C97" w:rsidRDefault="008E136D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460C97">
        <w:rPr>
          <w:rFonts w:asciiTheme="majorHAnsi" w:hAnsiTheme="majorHAnsi" w:cstheme="majorHAnsi"/>
          <w:sz w:val="23"/>
          <w:szCs w:val="23"/>
        </w:rPr>
        <w:t>35208 RUŠČICA</w:t>
      </w:r>
    </w:p>
    <w:p w:rsidR="008E136D" w:rsidRPr="00460C97" w:rsidRDefault="008E136D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460C97">
        <w:rPr>
          <w:rFonts w:asciiTheme="majorHAnsi" w:hAnsiTheme="majorHAnsi" w:cstheme="majorHAnsi"/>
          <w:sz w:val="23"/>
          <w:szCs w:val="23"/>
        </w:rPr>
        <w:t xml:space="preserve"> </w:t>
      </w:r>
    </w:p>
    <w:p w:rsidR="008E136D" w:rsidRPr="00460C97" w:rsidRDefault="00973FC5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460C97">
        <w:rPr>
          <w:rFonts w:asciiTheme="majorHAnsi" w:hAnsiTheme="majorHAnsi" w:cstheme="majorHAnsi"/>
          <w:sz w:val="23"/>
          <w:szCs w:val="23"/>
        </w:rPr>
        <w:t>TEL. 035/457-055</w:t>
      </w:r>
    </w:p>
    <w:p w:rsidR="008E136D" w:rsidRPr="00460C97" w:rsidRDefault="00973FC5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460C97">
        <w:rPr>
          <w:rFonts w:asciiTheme="majorHAnsi" w:hAnsiTheme="majorHAnsi" w:cstheme="majorHAnsi"/>
          <w:sz w:val="23"/>
          <w:szCs w:val="23"/>
        </w:rPr>
        <w:t>FAX: 035/456-103</w:t>
      </w:r>
    </w:p>
    <w:p w:rsidR="008E136D" w:rsidRPr="00460C97" w:rsidRDefault="008E136D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8E136D" w:rsidRPr="00460C97" w:rsidRDefault="008E136D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460C97">
        <w:rPr>
          <w:rFonts w:asciiTheme="majorHAnsi" w:hAnsiTheme="majorHAnsi" w:cstheme="majorHAnsi"/>
          <w:sz w:val="23"/>
          <w:szCs w:val="23"/>
        </w:rPr>
        <w:t xml:space="preserve">Adresa elektroničke pošte: </w:t>
      </w:r>
      <w:hyperlink r:id="rId17" w:history="1">
        <w:r w:rsidR="00973FC5" w:rsidRPr="00460C97">
          <w:rPr>
            <w:rStyle w:val="Hiperveza"/>
            <w:rFonts w:asciiTheme="majorHAnsi" w:hAnsiTheme="majorHAnsi" w:cstheme="majorHAnsi"/>
            <w:sz w:val="23"/>
            <w:szCs w:val="23"/>
          </w:rPr>
          <w:t>opcina.gornja.vrba@sb.t-com.hr</w:t>
        </w:r>
      </w:hyperlink>
      <w:r w:rsidRPr="00460C97">
        <w:rPr>
          <w:rFonts w:asciiTheme="majorHAnsi" w:hAnsiTheme="majorHAnsi" w:cstheme="majorHAnsi"/>
          <w:sz w:val="23"/>
          <w:szCs w:val="23"/>
        </w:rPr>
        <w:t xml:space="preserve">  </w:t>
      </w:r>
    </w:p>
    <w:p w:rsidR="008E136D" w:rsidRPr="00460C97" w:rsidRDefault="008E136D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C403F8" w:rsidRPr="00460C97" w:rsidRDefault="00C403F8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945043" w:rsidRPr="00460C97" w:rsidRDefault="00945043" w:rsidP="008E136D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945043" w:rsidRPr="00460C97" w:rsidRDefault="008E136D" w:rsidP="008E136D">
      <w:pPr>
        <w:jc w:val="center"/>
        <w:rPr>
          <w:rFonts w:asciiTheme="majorHAnsi" w:hAnsiTheme="majorHAnsi" w:cstheme="majorHAnsi"/>
          <w:b/>
          <w:i/>
          <w:sz w:val="40"/>
          <w:szCs w:val="23"/>
          <w:lang w:val="hr-HR"/>
        </w:rPr>
      </w:pPr>
      <w:r w:rsidRPr="00460C97">
        <w:rPr>
          <w:rFonts w:asciiTheme="majorHAnsi" w:hAnsiTheme="majorHAnsi" w:cstheme="majorHAnsi"/>
          <w:b/>
          <w:i/>
          <w:sz w:val="40"/>
          <w:szCs w:val="23"/>
          <w:lang w:val="hr-HR"/>
        </w:rPr>
        <w:t xml:space="preserve">Vaša pitanja, primjedbe i prijedloge </w:t>
      </w:r>
    </w:p>
    <w:p w:rsidR="00460C97" w:rsidRPr="00B87C25" w:rsidRDefault="008E136D" w:rsidP="00B87C25">
      <w:pPr>
        <w:jc w:val="center"/>
        <w:rPr>
          <w:rFonts w:asciiTheme="majorHAnsi" w:hAnsiTheme="majorHAnsi" w:cstheme="majorHAnsi"/>
          <w:b/>
          <w:i/>
          <w:sz w:val="40"/>
          <w:szCs w:val="23"/>
          <w:lang w:val="hr-HR"/>
        </w:rPr>
      </w:pPr>
      <w:r w:rsidRPr="00460C97">
        <w:rPr>
          <w:rFonts w:asciiTheme="majorHAnsi" w:hAnsiTheme="majorHAnsi" w:cstheme="majorHAnsi"/>
          <w:b/>
          <w:i/>
          <w:sz w:val="40"/>
          <w:szCs w:val="23"/>
          <w:lang w:val="hr-HR"/>
        </w:rPr>
        <w:t xml:space="preserve">možete slati na gore navedene adrese! </w:t>
      </w:r>
    </w:p>
    <w:sectPr w:rsidR="00460C97" w:rsidRPr="00B87C25" w:rsidSect="002521FC">
      <w:footerReference w:type="default" r:id="rId18"/>
      <w:endnotePr>
        <w:numFmt w:val="decimal"/>
      </w:endnotePr>
      <w:pgSz w:w="11905" w:h="16837"/>
      <w:pgMar w:top="1276" w:right="1440" w:bottom="1276" w:left="1440" w:header="1440" w:footer="1440" w:gutter="0"/>
      <w:pgNumType w:start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4111" w:rsidRDefault="00D84111" w:rsidP="00973FC5">
      <w:r>
        <w:separator/>
      </w:r>
    </w:p>
  </w:endnote>
  <w:endnote w:type="continuationSeparator" w:id="0">
    <w:p w:rsidR="00D84111" w:rsidRDefault="00D84111" w:rsidP="0097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316265"/>
      <w:docPartObj>
        <w:docPartGallery w:val="Page Numbers (Bottom of Page)"/>
        <w:docPartUnique/>
      </w:docPartObj>
    </w:sdtPr>
    <w:sdtEndPr/>
    <w:sdtContent>
      <w:p w:rsidR="00B95A59" w:rsidRDefault="0006113D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113D" w:rsidRDefault="0006113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  <w:lang w:val="hr-HR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a 3" o:spid="_x0000_s1027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ILIPbV6AwAAdgoAAA4AAAAAAAAAAAAAAAAALgIAAGRycy9lMm9Eb2MueG1s&#10;UEsBAi0AFAAGAAgAAAAhAPAtuOTbAAAABQEAAA8AAAAAAAAAAAAAAAAA1A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06113D" w:rsidRDefault="00061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  <w:lang w:val="hr-HR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4111" w:rsidRDefault="00D84111" w:rsidP="00973FC5">
      <w:r>
        <w:separator/>
      </w:r>
    </w:p>
  </w:footnote>
  <w:footnote w:type="continuationSeparator" w:id="0">
    <w:p w:rsidR="00D84111" w:rsidRDefault="00D84111" w:rsidP="00973FC5">
      <w:r>
        <w:continuationSeparator/>
      </w:r>
    </w:p>
  </w:footnote>
  <w:footnote w:id="1">
    <w:p w:rsidR="009B2E6F" w:rsidRPr="009B2E6F" w:rsidRDefault="009B2E6F">
      <w:pPr>
        <w:pStyle w:val="Tekstfusnote"/>
        <w:rPr>
          <w:lang w:val="hr-HR"/>
        </w:rPr>
      </w:pPr>
      <w:r w:rsidRPr="009B2E6F">
        <w:rPr>
          <w:rStyle w:val="Referencafusnote"/>
          <w:vertAlign w:val="superscript"/>
          <w:lang w:val="hr-HR"/>
        </w:rPr>
        <w:footnoteRef/>
      </w:r>
      <w:r w:rsidRPr="009B2E6F">
        <w:rPr>
          <w:lang w:val="hr-HR"/>
        </w:rPr>
        <w:t xml:space="preserve">  Izvor: Upute Ministarstva financija za izradu proračuna JLP(R)S za razdoblje 2023.-2025.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43D"/>
    <w:multiLevelType w:val="hybridMultilevel"/>
    <w:tmpl w:val="7BA8552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7109F"/>
    <w:multiLevelType w:val="multilevel"/>
    <w:tmpl w:val="E7625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03A464F4"/>
    <w:multiLevelType w:val="hybridMultilevel"/>
    <w:tmpl w:val="B58AF7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B6E78"/>
    <w:multiLevelType w:val="hybridMultilevel"/>
    <w:tmpl w:val="6AFA9B6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421668"/>
    <w:multiLevelType w:val="hybridMultilevel"/>
    <w:tmpl w:val="CC74092A"/>
    <w:lvl w:ilvl="0" w:tplc="DEB8CD40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EB6FC5"/>
    <w:multiLevelType w:val="hybridMultilevel"/>
    <w:tmpl w:val="2D3E32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329CB"/>
    <w:multiLevelType w:val="multilevel"/>
    <w:tmpl w:val="E7625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CEA261D"/>
    <w:multiLevelType w:val="hybridMultilevel"/>
    <w:tmpl w:val="3782D130"/>
    <w:lvl w:ilvl="0" w:tplc="B986DD6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492657"/>
    <w:multiLevelType w:val="multilevel"/>
    <w:tmpl w:val="E7625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5A21874"/>
    <w:multiLevelType w:val="hybridMultilevel"/>
    <w:tmpl w:val="9F3A08C2"/>
    <w:lvl w:ilvl="0" w:tplc="6FFEE0F6">
      <w:start w:val="1"/>
      <w:numFmt w:val="bullet"/>
      <w:lvlText w:val="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916B44"/>
    <w:multiLevelType w:val="hybridMultilevel"/>
    <w:tmpl w:val="9B84AF80"/>
    <w:lvl w:ilvl="0" w:tplc="D5AA5E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355EA8"/>
    <w:multiLevelType w:val="hybridMultilevel"/>
    <w:tmpl w:val="1B2225C4"/>
    <w:lvl w:ilvl="0" w:tplc="D5AA5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5E0F"/>
    <w:multiLevelType w:val="hybridMultilevel"/>
    <w:tmpl w:val="6294641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B2BA9"/>
    <w:multiLevelType w:val="hybridMultilevel"/>
    <w:tmpl w:val="6E9004B4"/>
    <w:lvl w:ilvl="0" w:tplc="6FFEE0F6">
      <w:start w:val="1"/>
      <w:numFmt w:val="bullet"/>
      <w:lvlText w:val="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E9677A9"/>
    <w:multiLevelType w:val="hybridMultilevel"/>
    <w:tmpl w:val="B808C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D6C45"/>
    <w:multiLevelType w:val="hybridMultilevel"/>
    <w:tmpl w:val="D1FAE6F0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04788"/>
    <w:multiLevelType w:val="hybridMultilevel"/>
    <w:tmpl w:val="F1142D8A"/>
    <w:lvl w:ilvl="0" w:tplc="D5AA5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BA70E9"/>
    <w:multiLevelType w:val="hybridMultilevel"/>
    <w:tmpl w:val="4772429E"/>
    <w:lvl w:ilvl="0" w:tplc="324E63C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137F00"/>
    <w:multiLevelType w:val="hybridMultilevel"/>
    <w:tmpl w:val="EA2AE41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66211"/>
    <w:multiLevelType w:val="hybridMultilevel"/>
    <w:tmpl w:val="048E0C80"/>
    <w:lvl w:ilvl="0" w:tplc="6FFEE0F6">
      <w:start w:val="1"/>
      <w:numFmt w:val="bullet"/>
      <w:lvlText w:val="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DB27353"/>
    <w:multiLevelType w:val="hybridMultilevel"/>
    <w:tmpl w:val="B5367BEA"/>
    <w:lvl w:ilvl="0" w:tplc="041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F37BF"/>
    <w:multiLevelType w:val="hybridMultilevel"/>
    <w:tmpl w:val="8CF0760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74CE1"/>
    <w:multiLevelType w:val="hybridMultilevel"/>
    <w:tmpl w:val="3416B69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3" w15:restartNumberingAfterBreak="0">
    <w:nsid w:val="55F021B8"/>
    <w:multiLevelType w:val="multilevel"/>
    <w:tmpl w:val="E7625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56497366"/>
    <w:multiLevelType w:val="hybridMultilevel"/>
    <w:tmpl w:val="AEC65C0E"/>
    <w:lvl w:ilvl="0" w:tplc="BF6C45E6">
      <w:numFmt w:val="bullet"/>
      <w:lvlText w:val="·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B4596"/>
    <w:multiLevelType w:val="hybridMultilevel"/>
    <w:tmpl w:val="D134380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B0FAE"/>
    <w:multiLevelType w:val="multilevel"/>
    <w:tmpl w:val="E7625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5A3604F9"/>
    <w:multiLevelType w:val="hybridMultilevel"/>
    <w:tmpl w:val="D478A10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42D02"/>
    <w:multiLevelType w:val="hybridMultilevel"/>
    <w:tmpl w:val="D52C8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A4185"/>
    <w:multiLevelType w:val="hybridMultilevel"/>
    <w:tmpl w:val="9952439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76CD7"/>
    <w:multiLevelType w:val="hybridMultilevel"/>
    <w:tmpl w:val="3BB870E2"/>
    <w:lvl w:ilvl="0" w:tplc="F7F64CA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3442C0"/>
    <w:multiLevelType w:val="hybridMultilevel"/>
    <w:tmpl w:val="B79690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D24B6"/>
    <w:multiLevelType w:val="multilevel"/>
    <w:tmpl w:val="E7625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3" w15:restartNumberingAfterBreak="0">
    <w:nsid w:val="660E72AB"/>
    <w:multiLevelType w:val="hybridMultilevel"/>
    <w:tmpl w:val="A6FEE21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063A7"/>
    <w:multiLevelType w:val="hybridMultilevel"/>
    <w:tmpl w:val="A0E053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371BB"/>
    <w:multiLevelType w:val="hybridMultilevel"/>
    <w:tmpl w:val="0400E4EA"/>
    <w:lvl w:ilvl="0" w:tplc="041A000D">
      <w:start w:val="1"/>
      <w:numFmt w:val="bullet"/>
      <w:lvlText w:val=""/>
      <w:lvlJc w:val="left"/>
      <w:pPr>
        <w:ind w:left="-50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</w:abstractNum>
  <w:abstractNum w:abstractNumId="36" w15:restartNumberingAfterBreak="0">
    <w:nsid w:val="6EB15288"/>
    <w:multiLevelType w:val="multilevel"/>
    <w:tmpl w:val="E7625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7" w15:restartNumberingAfterBreak="0">
    <w:nsid w:val="75CD1B5F"/>
    <w:multiLevelType w:val="hybridMultilevel"/>
    <w:tmpl w:val="9A540B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F303B"/>
    <w:multiLevelType w:val="hybridMultilevel"/>
    <w:tmpl w:val="C1BC002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648909">
    <w:abstractNumId w:val="28"/>
  </w:num>
  <w:num w:numId="2" w16cid:durableId="441414618">
    <w:abstractNumId w:val="11"/>
  </w:num>
  <w:num w:numId="3" w16cid:durableId="868689722">
    <w:abstractNumId w:val="16"/>
  </w:num>
  <w:num w:numId="4" w16cid:durableId="321667524">
    <w:abstractNumId w:val="30"/>
  </w:num>
  <w:num w:numId="5" w16cid:durableId="762069173">
    <w:abstractNumId w:val="10"/>
  </w:num>
  <w:num w:numId="6" w16cid:durableId="646932522">
    <w:abstractNumId w:val="1"/>
  </w:num>
  <w:num w:numId="7" w16cid:durableId="1801417633">
    <w:abstractNumId w:val="7"/>
  </w:num>
  <w:num w:numId="8" w16cid:durableId="996034893">
    <w:abstractNumId w:val="17"/>
  </w:num>
  <w:num w:numId="9" w16cid:durableId="1338271355">
    <w:abstractNumId w:val="27"/>
  </w:num>
  <w:num w:numId="10" w16cid:durableId="1425494975">
    <w:abstractNumId w:val="13"/>
  </w:num>
  <w:num w:numId="11" w16cid:durableId="329143796">
    <w:abstractNumId w:val="19"/>
  </w:num>
  <w:num w:numId="12" w16cid:durableId="1094322749">
    <w:abstractNumId w:val="31"/>
  </w:num>
  <w:num w:numId="13" w16cid:durableId="2008552331">
    <w:abstractNumId w:val="38"/>
  </w:num>
  <w:num w:numId="14" w16cid:durableId="1860002611">
    <w:abstractNumId w:val="20"/>
  </w:num>
  <w:num w:numId="15" w16cid:durableId="2015179244">
    <w:abstractNumId w:val="22"/>
  </w:num>
  <w:num w:numId="16" w16cid:durableId="2048946403">
    <w:abstractNumId w:val="9"/>
  </w:num>
  <w:num w:numId="17" w16cid:durableId="134224641">
    <w:abstractNumId w:val="4"/>
  </w:num>
  <w:num w:numId="18" w16cid:durableId="1011028349">
    <w:abstractNumId w:val="35"/>
  </w:num>
  <w:num w:numId="19" w16cid:durableId="377440167">
    <w:abstractNumId w:val="3"/>
  </w:num>
  <w:num w:numId="20" w16cid:durableId="630284488">
    <w:abstractNumId w:val="25"/>
  </w:num>
  <w:num w:numId="21" w16cid:durableId="832797628">
    <w:abstractNumId w:val="15"/>
  </w:num>
  <w:num w:numId="22" w16cid:durableId="1055197950">
    <w:abstractNumId w:val="29"/>
  </w:num>
  <w:num w:numId="23" w16cid:durableId="664863532">
    <w:abstractNumId w:val="36"/>
  </w:num>
  <w:num w:numId="24" w16cid:durableId="1694072272">
    <w:abstractNumId w:val="32"/>
  </w:num>
  <w:num w:numId="25" w16cid:durableId="910579169">
    <w:abstractNumId w:val="26"/>
  </w:num>
  <w:num w:numId="26" w16cid:durableId="503470728">
    <w:abstractNumId w:val="23"/>
  </w:num>
  <w:num w:numId="27" w16cid:durableId="1202522998">
    <w:abstractNumId w:val="21"/>
  </w:num>
  <w:num w:numId="28" w16cid:durableId="1374691890">
    <w:abstractNumId w:val="2"/>
  </w:num>
  <w:num w:numId="29" w16cid:durableId="59258579">
    <w:abstractNumId w:val="37"/>
  </w:num>
  <w:num w:numId="30" w16cid:durableId="1502239835">
    <w:abstractNumId w:val="34"/>
  </w:num>
  <w:num w:numId="31" w16cid:durableId="1262758383">
    <w:abstractNumId w:val="33"/>
  </w:num>
  <w:num w:numId="32" w16cid:durableId="1065564705">
    <w:abstractNumId w:val="18"/>
  </w:num>
  <w:num w:numId="33" w16cid:durableId="1097869201">
    <w:abstractNumId w:val="12"/>
  </w:num>
  <w:num w:numId="34" w16cid:durableId="2121099501">
    <w:abstractNumId w:val="5"/>
  </w:num>
  <w:num w:numId="35" w16cid:durableId="2032030895">
    <w:abstractNumId w:val="0"/>
  </w:num>
  <w:num w:numId="36" w16cid:durableId="896671740">
    <w:abstractNumId w:val="14"/>
  </w:num>
  <w:num w:numId="37" w16cid:durableId="2137486973">
    <w:abstractNumId w:val="24"/>
  </w:num>
  <w:num w:numId="38" w16cid:durableId="256523156">
    <w:abstractNumId w:val="6"/>
  </w:num>
  <w:num w:numId="39" w16cid:durableId="14230630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505">
      <o:colormru v:ext="edit" colors="#6f3,#9f6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15"/>
    <w:rsid w:val="00001AF4"/>
    <w:rsid w:val="00002170"/>
    <w:rsid w:val="00006476"/>
    <w:rsid w:val="00011644"/>
    <w:rsid w:val="00011A88"/>
    <w:rsid w:val="0001210D"/>
    <w:rsid w:val="000128A3"/>
    <w:rsid w:val="00022F34"/>
    <w:rsid w:val="00034B95"/>
    <w:rsid w:val="00034D38"/>
    <w:rsid w:val="00035E33"/>
    <w:rsid w:val="00041693"/>
    <w:rsid w:val="00044AB2"/>
    <w:rsid w:val="0005042D"/>
    <w:rsid w:val="000512EC"/>
    <w:rsid w:val="0005684B"/>
    <w:rsid w:val="0006113D"/>
    <w:rsid w:val="0006394D"/>
    <w:rsid w:val="00065FA2"/>
    <w:rsid w:val="00066FC8"/>
    <w:rsid w:val="00067114"/>
    <w:rsid w:val="000678ED"/>
    <w:rsid w:val="0007028A"/>
    <w:rsid w:val="000719FA"/>
    <w:rsid w:val="00080014"/>
    <w:rsid w:val="000A0478"/>
    <w:rsid w:val="000A1210"/>
    <w:rsid w:val="000A19B9"/>
    <w:rsid w:val="000A4779"/>
    <w:rsid w:val="000A4D13"/>
    <w:rsid w:val="000A5718"/>
    <w:rsid w:val="000A6589"/>
    <w:rsid w:val="000A6D05"/>
    <w:rsid w:val="000A7356"/>
    <w:rsid w:val="000B1AFD"/>
    <w:rsid w:val="000B2983"/>
    <w:rsid w:val="000B646B"/>
    <w:rsid w:val="000B702E"/>
    <w:rsid w:val="000C5388"/>
    <w:rsid w:val="000C59DF"/>
    <w:rsid w:val="000D2214"/>
    <w:rsid w:val="000D43A6"/>
    <w:rsid w:val="000D60B4"/>
    <w:rsid w:val="000E13BD"/>
    <w:rsid w:val="000E202A"/>
    <w:rsid w:val="000E3DD9"/>
    <w:rsid w:val="000F571E"/>
    <w:rsid w:val="000F74FC"/>
    <w:rsid w:val="00102025"/>
    <w:rsid w:val="0010361A"/>
    <w:rsid w:val="00114C45"/>
    <w:rsid w:val="001226FB"/>
    <w:rsid w:val="00122B04"/>
    <w:rsid w:val="001245F1"/>
    <w:rsid w:val="00131833"/>
    <w:rsid w:val="00131D78"/>
    <w:rsid w:val="0013344E"/>
    <w:rsid w:val="00141EFA"/>
    <w:rsid w:val="00144278"/>
    <w:rsid w:val="00150CD7"/>
    <w:rsid w:val="001515BD"/>
    <w:rsid w:val="00151717"/>
    <w:rsid w:val="00152A15"/>
    <w:rsid w:val="001601EB"/>
    <w:rsid w:val="00160C86"/>
    <w:rsid w:val="0016106E"/>
    <w:rsid w:val="00162E98"/>
    <w:rsid w:val="00163721"/>
    <w:rsid w:val="00165FB4"/>
    <w:rsid w:val="001742F3"/>
    <w:rsid w:val="0017437C"/>
    <w:rsid w:val="00175664"/>
    <w:rsid w:val="0018495D"/>
    <w:rsid w:val="001860AA"/>
    <w:rsid w:val="00192F10"/>
    <w:rsid w:val="00196AA7"/>
    <w:rsid w:val="00196ADB"/>
    <w:rsid w:val="001A427F"/>
    <w:rsid w:val="001A7755"/>
    <w:rsid w:val="001A7CDA"/>
    <w:rsid w:val="001B533C"/>
    <w:rsid w:val="001C14AE"/>
    <w:rsid w:val="001C7DCF"/>
    <w:rsid w:val="001D11E0"/>
    <w:rsid w:val="001D69D6"/>
    <w:rsid w:val="001D7411"/>
    <w:rsid w:val="001D76EC"/>
    <w:rsid w:val="001E10F7"/>
    <w:rsid w:val="001E18A4"/>
    <w:rsid w:val="001E698A"/>
    <w:rsid w:val="001F4441"/>
    <w:rsid w:val="001F5AB6"/>
    <w:rsid w:val="00200EEE"/>
    <w:rsid w:val="0021021A"/>
    <w:rsid w:val="002111C2"/>
    <w:rsid w:val="0021219B"/>
    <w:rsid w:val="002149CF"/>
    <w:rsid w:val="00217A5E"/>
    <w:rsid w:val="00245E18"/>
    <w:rsid w:val="002521FC"/>
    <w:rsid w:val="002601AC"/>
    <w:rsid w:val="00262297"/>
    <w:rsid w:val="00264FDD"/>
    <w:rsid w:val="0026573D"/>
    <w:rsid w:val="00275EC1"/>
    <w:rsid w:val="002809CA"/>
    <w:rsid w:val="002829D1"/>
    <w:rsid w:val="002836C6"/>
    <w:rsid w:val="00294691"/>
    <w:rsid w:val="00297A62"/>
    <w:rsid w:val="002A3DB8"/>
    <w:rsid w:val="002B4FB9"/>
    <w:rsid w:val="002C3E80"/>
    <w:rsid w:val="002C4CC5"/>
    <w:rsid w:val="002D1D44"/>
    <w:rsid w:val="002D35A6"/>
    <w:rsid w:val="002D5F7F"/>
    <w:rsid w:val="002D6102"/>
    <w:rsid w:val="002D63C6"/>
    <w:rsid w:val="002D6C3F"/>
    <w:rsid w:val="002E0E14"/>
    <w:rsid w:val="002E1980"/>
    <w:rsid w:val="002E45B3"/>
    <w:rsid w:val="002E63AE"/>
    <w:rsid w:val="002F1862"/>
    <w:rsid w:val="002F54CB"/>
    <w:rsid w:val="002F56C6"/>
    <w:rsid w:val="002F59E9"/>
    <w:rsid w:val="0030388F"/>
    <w:rsid w:val="0031025A"/>
    <w:rsid w:val="0031025B"/>
    <w:rsid w:val="0031219B"/>
    <w:rsid w:val="00312490"/>
    <w:rsid w:val="00312A40"/>
    <w:rsid w:val="00315002"/>
    <w:rsid w:val="003164E9"/>
    <w:rsid w:val="00316AB3"/>
    <w:rsid w:val="00320A06"/>
    <w:rsid w:val="00330811"/>
    <w:rsid w:val="00331CF3"/>
    <w:rsid w:val="003424A2"/>
    <w:rsid w:val="00342EDD"/>
    <w:rsid w:val="003433C6"/>
    <w:rsid w:val="00343952"/>
    <w:rsid w:val="00353BB2"/>
    <w:rsid w:val="00353F37"/>
    <w:rsid w:val="003711D9"/>
    <w:rsid w:val="003835DA"/>
    <w:rsid w:val="0038364A"/>
    <w:rsid w:val="00383B25"/>
    <w:rsid w:val="0039192C"/>
    <w:rsid w:val="00394181"/>
    <w:rsid w:val="00395B03"/>
    <w:rsid w:val="0039730C"/>
    <w:rsid w:val="003A2F99"/>
    <w:rsid w:val="003B0D19"/>
    <w:rsid w:val="003B1006"/>
    <w:rsid w:val="003B2DB9"/>
    <w:rsid w:val="003B4237"/>
    <w:rsid w:val="003B73C2"/>
    <w:rsid w:val="003C6D09"/>
    <w:rsid w:val="003D1F36"/>
    <w:rsid w:val="003D5420"/>
    <w:rsid w:val="003E1785"/>
    <w:rsid w:val="003F21FF"/>
    <w:rsid w:val="003F3018"/>
    <w:rsid w:val="003F35BA"/>
    <w:rsid w:val="003F525C"/>
    <w:rsid w:val="003F7841"/>
    <w:rsid w:val="003F7E87"/>
    <w:rsid w:val="00400067"/>
    <w:rsid w:val="004066FA"/>
    <w:rsid w:val="00406955"/>
    <w:rsid w:val="00407463"/>
    <w:rsid w:val="00411229"/>
    <w:rsid w:val="00414E80"/>
    <w:rsid w:val="00415E51"/>
    <w:rsid w:val="00421B67"/>
    <w:rsid w:val="004257D9"/>
    <w:rsid w:val="00427561"/>
    <w:rsid w:val="00436725"/>
    <w:rsid w:val="00442D03"/>
    <w:rsid w:val="004444FE"/>
    <w:rsid w:val="00450225"/>
    <w:rsid w:val="00451546"/>
    <w:rsid w:val="0045268C"/>
    <w:rsid w:val="004526F8"/>
    <w:rsid w:val="00460C97"/>
    <w:rsid w:val="004651A3"/>
    <w:rsid w:val="0046577D"/>
    <w:rsid w:val="00471390"/>
    <w:rsid w:val="00471B72"/>
    <w:rsid w:val="00481344"/>
    <w:rsid w:val="004839AD"/>
    <w:rsid w:val="00490488"/>
    <w:rsid w:val="00497B80"/>
    <w:rsid w:val="004A41E2"/>
    <w:rsid w:val="004A733A"/>
    <w:rsid w:val="004B1E85"/>
    <w:rsid w:val="004B2D1F"/>
    <w:rsid w:val="004B74D6"/>
    <w:rsid w:val="004C24A8"/>
    <w:rsid w:val="004C6148"/>
    <w:rsid w:val="004C7BD6"/>
    <w:rsid w:val="004C7C39"/>
    <w:rsid w:val="004C7CB0"/>
    <w:rsid w:val="004D47FE"/>
    <w:rsid w:val="004D67B2"/>
    <w:rsid w:val="004E21EF"/>
    <w:rsid w:val="004F2722"/>
    <w:rsid w:val="004F29B1"/>
    <w:rsid w:val="00504E4B"/>
    <w:rsid w:val="00504FB7"/>
    <w:rsid w:val="005131E9"/>
    <w:rsid w:val="00514B24"/>
    <w:rsid w:val="005155C9"/>
    <w:rsid w:val="0051591F"/>
    <w:rsid w:val="00517A7A"/>
    <w:rsid w:val="00520DF6"/>
    <w:rsid w:val="00521BC9"/>
    <w:rsid w:val="00521F25"/>
    <w:rsid w:val="0052484E"/>
    <w:rsid w:val="00526BD2"/>
    <w:rsid w:val="005318B6"/>
    <w:rsid w:val="00535826"/>
    <w:rsid w:val="0054045F"/>
    <w:rsid w:val="00546E6F"/>
    <w:rsid w:val="005510E6"/>
    <w:rsid w:val="00553335"/>
    <w:rsid w:val="00553629"/>
    <w:rsid w:val="00553A9A"/>
    <w:rsid w:val="005618F2"/>
    <w:rsid w:val="0056223A"/>
    <w:rsid w:val="00566807"/>
    <w:rsid w:val="00567249"/>
    <w:rsid w:val="00570AB2"/>
    <w:rsid w:val="00570F2A"/>
    <w:rsid w:val="0057221E"/>
    <w:rsid w:val="005748FA"/>
    <w:rsid w:val="00577EED"/>
    <w:rsid w:val="00581042"/>
    <w:rsid w:val="00583A09"/>
    <w:rsid w:val="005845D3"/>
    <w:rsid w:val="005875D6"/>
    <w:rsid w:val="0059108B"/>
    <w:rsid w:val="005A6D06"/>
    <w:rsid w:val="005B1B29"/>
    <w:rsid w:val="005B6F13"/>
    <w:rsid w:val="005C02B7"/>
    <w:rsid w:val="005C0E07"/>
    <w:rsid w:val="005D1BDA"/>
    <w:rsid w:val="005D5E74"/>
    <w:rsid w:val="005E1A2F"/>
    <w:rsid w:val="005E46AF"/>
    <w:rsid w:val="005E72AD"/>
    <w:rsid w:val="005F1E33"/>
    <w:rsid w:val="00601B9D"/>
    <w:rsid w:val="00605E79"/>
    <w:rsid w:val="00606559"/>
    <w:rsid w:val="00616A2C"/>
    <w:rsid w:val="00631140"/>
    <w:rsid w:val="00631F31"/>
    <w:rsid w:val="00640215"/>
    <w:rsid w:val="00641395"/>
    <w:rsid w:val="00651195"/>
    <w:rsid w:val="0065261B"/>
    <w:rsid w:val="00655170"/>
    <w:rsid w:val="00656BB6"/>
    <w:rsid w:val="00660985"/>
    <w:rsid w:val="006704C1"/>
    <w:rsid w:val="0067222D"/>
    <w:rsid w:val="00673CE0"/>
    <w:rsid w:val="006746F3"/>
    <w:rsid w:val="00680152"/>
    <w:rsid w:val="00683DDA"/>
    <w:rsid w:val="00687CE7"/>
    <w:rsid w:val="006900A9"/>
    <w:rsid w:val="0069209C"/>
    <w:rsid w:val="006927B5"/>
    <w:rsid w:val="00695BE7"/>
    <w:rsid w:val="006A3CB9"/>
    <w:rsid w:val="006B37DC"/>
    <w:rsid w:val="006B40DB"/>
    <w:rsid w:val="006C0234"/>
    <w:rsid w:val="006C0B51"/>
    <w:rsid w:val="006D4BBF"/>
    <w:rsid w:val="006D7C07"/>
    <w:rsid w:val="006E03C7"/>
    <w:rsid w:val="006E339B"/>
    <w:rsid w:val="006E4AA4"/>
    <w:rsid w:val="006E6767"/>
    <w:rsid w:val="006F0270"/>
    <w:rsid w:val="006F1E44"/>
    <w:rsid w:val="006F2C84"/>
    <w:rsid w:val="006F3F04"/>
    <w:rsid w:val="006F74E6"/>
    <w:rsid w:val="007022EB"/>
    <w:rsid w:val="00704F87"/>
    <w:rsid w:val="0072658F"/>
    <w:rsid w:val="00727823"/>
    <w:rsid w:val="00735F1B"/>
    <w:rsid w:val="007521FE"/>
    <w:rsid w:val="00754184"/>
    <w:rsid w:val="00754AFA"/>
    <w:rsid w:val="00754B23"/>
    <w:rsid w:val="00755135"/>
    <w:rsid w:val="007561CC"/>
    <w:rsid w:val="00760FBE"/>
    <w:rsid w:val="00762239"/>
    <w:rsid w:val="00763633"/>
    <w:rsid w:val="00766B77"/>
    <w:rsid w:val="00771ED4"/>
    <w:rsid w:val="00776733"/>
    <w:rsid w:val="00780B09"/>
    <w:rsid w:val="0078237E"/>
    <w:rsid w:val="00782393"/>
    <w:rsid w:val="00782CA6"/>
    <w:rsid w:val="007857D7"/>
    <w:rsid w:val="007863E2"/>
    <w:rsid w:val="007873D3"/>
    <w:rsid w:val="00795FE7"/>
    <w:rsid w:val="007A0FC3"/>
    <w:rsid w:val="007A4849"/>
    <w:rsid w:val="007A6A63"/>
    <w:rsid w:val="007A72A3"/>
    <w:rsid w:val="007B0212"/>
    <w:rsid w:val="007B2176"/>
    <w:rsid w:val="007C0F4E"/>
    <w:rsid w:val="007C39D1"/>
    <w:rsid w:val="007C3E06"/>
    <w:rsid w:val="007D77E8"/>
    <w:rsid w:val="007D7FFC"/>
    <w:rsid w:val="007E27B3"/>
    <w:rsid w:val="007E3B16"/>
    <w:rsid w:val="007E49E7"/>
    <w:rsid w:val="007E662B"/>
    <w:rsid w:val="007F12FB"/>
    <w:rsid w:val="007F2F2A"/>
    <w:rsid w:val="0080240B"/>
    <w:rsid w:val="00805DDC"/>
    <w:rsid w:val="00812BB8"/>
    <w:rsid w:val="00813D6D"/>
    <w:rsid w:val="008247EB"/>
    <w:rsid w:val="00826323"/>
    <w:rsid w:val="00826ABC"/>
    <w:rsid w:val="00827B2A"/>
    <w:rsid w:val="00830042"/>
    <w:rsid w:val="00832AD7"/>
    <w:rsid w:val="00832C38"/>
    <w:rsid w:val="0083528E"/>
    <w:rsid w:val="00836A42"/>
    <w:rsid w:val="0084590F"/>
    <w:rsid w:val="0085082F"/>
    <w:rsid w:val="008526E3"/>
    <w:rsid w:val="00854AA4"/>
    <w:rsid w:val="00862387"/>
    <w:rsid w:val="0087279D"/>
    <w:rsid w:val="0087615D"/>
    <w:rsid w:val="00881970"/>
    <w:rsid w:val="008819C5"/>
    <w:rsid w:val="008834BB"/>
    <w:rsid w:val="008874BE"/>
    <w:rsid w:val="00892913"/>
    <w:rsid w:val="00893682"/>
    <w:rsid w:val="00894C0B"/>
    <w:rsid w:val="00896CAC"/>
    <w:rsid w:val="008B0FBB"/>
    <w:rsid w:val="008B1040"/>
    <w:rsid w:val="008B1C3B"/>
    <w:rsid w:val="008B6EFA"/>
    <w:rsid w:val="008C317C"/>
    <w:rsid w:val="008C7903"/>
    <w:rsid w:val="008D1FE5"/>
    <w:rsid w:val="008D7F30"/>
    <w:rsid w:val="008E136D"/>
    <w:rsid w:val="008E17E7"/>
    <w:rsid w:val="008E3617"/>
    <w:rsid w:val="008E4D1A"/>
    <w:rsid w:val="008F03D9"/>
    <w:rsid w:val="008F21DA"/>
    <w:rsid w:val="008F66C7"/>
    <w:rsid w:val="008F6B58"/>
    <w:rsid w:val="009049F6"/>
    <w:rsid w:val="00904F7B"/>
    <w:rsid w:val="00912602"/>
    <w:rsid w:val="00912DC7"/>
    <w:rsid w:val="009136CA"/>
    <w:rsid w:val="00920499"/>
    <w:rsid w:val="00923A60"/>
    <w:rsid w:val="00923CF3"/>
    <w:rsid w:val="00926476"/>
    <w:rsid w:val="00927A05"/>
    <w:rsid w:val="00930736"/>
    <w:rsid w:val="00932D91"/>
    <w:rsid w:val="00936F8F"/>
    <w:rsid w:val="009373A8"/>
    <w:rsid w:val="009414B3"/>
    <w:rsid w:val="009427BA"/>
    <w:rsid w:val="009429E2"/>
    <w:rsid w:val="00943945"/>
    <w:rsid w:val="00945043"/>
    <w:rsid w:val="009473A5"/>
    <w:rsid w:val="009477BA"/>
    <w:rsid w:val="0095107F"/>
    <w:rsid w:val="00954591"/>
    <w:rsid w:val="0095549F"/>
    <w:rsid w:val="0096071B"/>
    <w:rsid w:val="00961F29"/>
    <w:rsid w:val="009679A3"/>
    <w:rsid w:val="0097223B"/>
    <w:rsid w:val="00972F00"/>
    <w:rsid w:val="00973FC5"/>
    <w:rsid w:val="00974669"/>
    <w:rsid w:val="00976C9B"/>
    <w:rsid w:val="00977002"/>
    <w:rsid w:val="009830C4"/>
    <w:rsid w:val="00984D6D"/>
    <w:rsid w:val="00986F22"/>
    <w:rsid w:val="009A6ACE"/>
    <w:rsid w:val="009A7D8A"/>
    <w:rsid w:val="009B28BB"/>
    <w:rsid w:val="009B2E6F"/>
    <w:rsid w:val="009B32C1"/>
    <w:rsid w:val="009C006E"/>
    <w:rsid w:val="009C3F02"/>
    <w:rsid w:val="009C4003"/>
    <w:rsid w:val="009C5E9F"/>
    <w:rsid w:val="009C637F"/>
    <w:rsid w:val="009D136A"/>
    <w:rsid w:val="009D2396"/>
    <w:rsid w:val="009D3DAD"/>
    <w:rsid w:val="009D7E0F"/>
    <w:rsid w:val="009E24D2"/>
    <w:rsid w:val="009F1DC6"/>
    <w:rsid w:val="00A01285"/>
    <w:rsid w:val="00A0256A"/>
    <w:rsid w:val="00A048FF"/>
    <w:rsid w:val="00A077CC"/>
    <w:rsid w:val="00A07AEE"/>
    <w:rsid w:val="00A10362"/>
    <w:rsid w:val="00A111C8"/>
    <w:rsid w:val="00A124EC"/>
    <w:rsid w:val="00A14281"/>
    <w:rsid w:val="00A142A0"/>
    <w:rsid w:val="00A1601D"/>
    <w:rsid w:val="00A22066"/>
    <w:rsid w:val="00A24C5D"/>
    <w:rsid w:val="00A27E89"/>
    <w:rsid w:val="00A32014"/>
    <w:rsid w:val="00A3462B"/>
    <w:rsid w:val="00A412FB"/>
    <w:rsid w:val="00A43213"/>
    <w:rsid w:val="00A43E08"/>
    <w:rsid w:val="00A464B2"/>
    <w:rsid w:val="00A475CE"/>
    <w:rsid w:val="00A51D92"/>
    <w:rsid w:val="00A56269"/>
    <w:rsid w:val="00A623A9"/>
    <w:rsid w:val="00A70D0D"/>
    <w:rsid w:val="00A71971"/>
    <w:rsid w:val="00A74921"/>
    <w:rsid w:val="00A74FA1"/>
    <w:rsid w:val="00A931E0"/>
    <w:rsid w:val="00A93EAC"/>
    <w:rsid w:val="00A95BD6"/>
    <w:rsid w:val="00AA4524"/>
    <w:rsid w:val="00AA587E"/>
    <w:rsid w:val="00AA58D8"/>
    <w:rsid w:val="00AA6520"/>
    <w:rsid w:val="00AB5D7D"/>
    <w:rsid w:val="00AB657B"/>
    <w:rsid w:val="00AC4276"/>
    <w:rsid w:val="00AC58D9"/>
    <w:rsid w:val="00AD0162"/>
    <w:rsid w:val="00AD1CC0"/>
    <w:rsid w:val="00AD2D6E"/>
    <w:rsid w:val="00AE73A3"/>
    <w:rsid w:val="00AF1DC1"/>
    <w:rsid w:val="00AF29EC"/>
    <w:rsid w:val="00AF3376"/>
    <w:rsid w:val="00AF65B5"/>
    <w:rsid w:val="00AF73ED"/>
    <w:rsid w:val="00B02622"/>
    <w:rsid w:val="00B065C5"/>
    <w:rsid w:val="00B122EE"/>
    <w:rsid w:val="00B123AF"/>
    <w:rsid w:val="00B12BB8"/>
    <w:rsid w:val="00B14049"/>
    <w:rsid w:val="00B24381"/>
    <w:rsid w:val="00B268BC"/>
    <w:rsid w:val="00B329B2"/>
    <w:rsid w:val="00B37739"/>
    <w:rsid w:val="00B41078"/>
    <w:rsid w:val="00B412C6"/>
    <w:rsid w:val="00B43BAC"/>
    <w:rsid w:val="00B4519D"/>
    <w:rsid w:val="00B53632"/>
    <w:rsid w:val="00B56ADF"/>
    <w:rsid w:val="00B7139B"/>
    <w:rsid w:val="00B7353B"/>
    <w:rsid w:val="00B805AD"/>
    <w:rsid w:val="00B844A9"/>
    <w:rsid w:val="00B87C25"/>
    <w:rsid w:val="00B91CCB"/>
    <w:rsid w:val="00B94E2C"/>
    <w:rsid w:val="00B95A59"/>
    <w:rsid w:val="00B971F7"/>
    <w:rsid w:val="00BB730D"/>
    <w:rsid w:val="00BB7F76"/>
    <w:rsid w:val="00BC2ECD"/>
    <w:rsid w:val="00BC39C0"/>
    <w:rsid w:val="00BD3982"/>
    <w:rsid w:val="00BE4EE5"/>
    <w:rsid w:val="00BF0D25"/>
    <w:rsid w:val="00BF3CBC"/>
    <w:rsid w:val="00BF4014"/>
    <w:rsid w:val="00C033F0"/>
    <w:rsid w:val="00C12F1E"/>
    <w:rsid w:val="00C20A48"/>
    <w:rsid w:val="00C20D93"/>
    <w:rsid w:val="00C21C28"/>
    <w:rsid w:val="00C221B3"/>
    <w:rsid w:val="00C30B1F"/>
    <w:rsid w:val="00C33E51"/>
    <w:rsid w:val="00C403F8"/>
    <w:rsid w:val="00C42EE0"/>
    <w:rsid w:val="00C4574C"/>
    <w:rsid w:val="00C5691A"/>
    <w:rsid w:val="00C63A5B"/>
    <w:rsid w:val="00C64EC1"/>
    <w:rsid w:val="00C64EDC"/>
    <w:rsid w:val="00C67615"/>
    <w:rsid w:val="00C77EBF"/>
    <w:rsid w:val="00C8187D"/>
    <w:rsid w:val="00C81B89"/>
    <w:rsid w:val="00C82714"/>
    <w:rsid w:val="00C8525C"/>
    <w:rsid w:val="00C95AD2"/>
    <w:rsid w:val="00C95AF8"/>
    <w:rsid w:val="00C95F35"/>
    <w:rsid w:val="00C964C4"/>
    <w:rsid w:val="00C968DB"/>
    <w:rsid w:val="00C96AF0"/>
    <w:rsid w:val="00C971DA"/>
    <w:rsid w:val="00CA636D"/>
    <w:rsid w:val="00CA6B16"/>
    <w:rsid w:val="00CB0916"/>
    <w:rsid w:val="00CB1F6F"/>
    <w:rsid w:val="00CB345E"/>
    <w:rsid w:val="00CB4076"/>
    <w:rsid w:val="00CC25AE"/>
    <w:rsid w:val="00CC4B03"/>
    <w:rsid w:val="00CC6635"/>
    <w:rsid w:val="00CD2890"/>
    <w:rsid w:val="00CD2AC2"/>
    <w:rsid w:val="00CD54FA"/>
    <w:rsid w:val="00CD5CA8"/>
    <w:rsid w:val="00CE3856"/>
    <w:rsid w:val="00CE4ADD"/>
    <w:rsid w:val="00CF2B91"/>
    <w:rsid w:val="00CF7EFA"/>
    <w:rsid w:val="00D01C8B"/>
    <w:rsid w:val="00D04A27"/>
    <w:rsid w:val="00D0776C"/>
    <w:rsid w:val="00D204C1"/>
    <w:rsid w:val="00D2117F"/>
    <w:rsid w:val="00D23936"/>
    <w:rsid w:val="00D24379"/>
    <w:rsid w:val="00D24AF7"/>
    <w:rsid w:val="00D311FF"/>
    <w:rsid w:val="00D31BD8"/>
    <w:rsid w:val="00D3255E"/>
    <w:rsid w:val="00D405F0"/>
    <w:rsid w:val="00D42DE4"/>
    <w:rsid w:val="00D52B53"/>
    <w:rsid w:val="00D5617C"/>
    <w:rsid w:val="00D568FE"/>
    <w:rsid w:val="00D60751"/>
    <w:rsid w:val="00D70974"/>
    <w:rsid w:val="00D71E73"/>
    <w:rsid w:val="00D75B45"/>
    <w:rsid w:val="00D75FB8"/>
    <w:rsid w:val="00D81415"/>
    <w:rsid w:val="00D81D69"/>
    <w:rsid w:val="00D84111"/>
    <w:rsid w:val="00D87338"/>
    <w:rsid w:val="00D91C08"/>
    <w:rsid w:val="00D95076"/>
    <w:rsid w:val="00D95E62"/>
    <w:rsid w:val="00D967DA"/>
    <w:rsid w:val="00DA3313"/>
    <w:rsid w:val="00DB0EA6"/>
    <w:rsid w:val="00DB508E"/>
    <w:rsid w:val="00DB65E4"/>
    <w:rsid w:val="00DC1C33"/>
    <w:rsid w:val="00DC1FF1"/>
    <w:rsid w:val="00DC23B0"/>
    <w:rsid w:val="00DC31AE"/>
    <w:rsid w:val="00DC42EA"/>
    <w:rsid w:val="00DC7751"/>
    <w:rsid w:val="00DD0F0B"/>
    <w:rsid w:val="00DD639C"/>
    <w:rsid w:val="00DD676E"/>
    <w:rsid w:val="00DD6B3B"/>
    <w:rsid w:val="00DD70F7"/>
    <w:rsid w:val="00DE4668"/>
    <w:rsid w:val="00DE765F"/>
    <w:rsid w:val="00DE7F2F"/>
    <w:rsid w:val="00DF0E58"/>
    <w:rsid w:val="00DF2622"/>
    <w:rsid w:val="00DF43E3"/>
    <w:rsid w:val="00DF4FF6"/>
    <w:rsid w:val="00DF65E3"/>
    <w:rsid w:val="00DF7400"/>
    <w:rsid w:val="00DF7A41"/>
    <w:rsid w:val="00E0035F"/>
    <w:rsid w:val="00E00EA3"/>
    <w:rsid w:val="00E066C4"/>
    <w:rsid w:val="00E10513"/>
    <w:rsid w:val="00E11A19"/>
    <w:rsid w:val="00E12F4D"/>
    <w:rsid w:val="00E22D84"/>
    <w:rsid w:val="00E31CD8"/>
    <w:rsid w:val="00E32F8E"/>
    <w:rsid w:val="00E32FDA"/>
    <w:rsid w:val="00E410D0"/>
    <w:rsid w:val="00E419AB"/>
    <w:rsid w:val="00E42F3E"/>
    <w:rsid w:val="00E44BEA"/>
    <w:rsid w:val="00E46518"/>
    <w:rsid w:val="00E478F2"/>
    <w:rsid w:val="00E50011"/>
    <w:rsid w:val="00E6131B"/>
    <w:rsid w:val="00E70E5D"/>
    <w:rsid w:val="00E71AEE"/>
    <w:rsid w:val="00E81783"/>
    <w:rsid w:val="00E84152"/>
    <w:rsid w:val="00E84744"/>
    <w:rsid w:val="00E84E4F"/>
    <w:rsid w:val="00E85889"/>
    <w:rsid w:val="00E865FC"/>
    <w:rsid w:val="00E94A12"/>
    <w:rsid w:val="00E96754"/>
    <w:rsid w:val="00EA3896"/>
    <w:rsid w:val="00EA4077"/>
    <w:rsid w:val="00EA7952"/>
    <w:rsid w:val="00EB0793"/>
    <w:rsid w:val="00EC7D53"/>
    <w:rsid w:val="00ED0FCD"/>
    <w:rsid w:val="00ED1D30"/>
    <w:rsid w:val="00ED7681"/>
    <w:rsid w:val="00EE0CA8"/>
    <w:rsid w:val="00EE2B3E"/>
    <w:rsid w:val="00EE7AE9"/>
    <w:rsid w:val="00EF0797"/>
    <w:rsid w:val="00EF3CBA"/>
    <w:rsid w:val="00EF47FD"/>
    <w:rsid w:val="00EF67FF"/>
    <w:rsid w:val="00F02673"/>
    <w:rsid w:val="00F06555"/>
    <w:rsid w:val="00F0686E"/>
    <w:rsid w:val="00F1737F"/>
    <w:rsid w:val="00F239F1"/>
    <w:rsid w:val="00F26784"/>
    <w:rsid w:val="00F26DFB"/>
    <w:rsid w:val="00F301D8"/>
    <w:rsid w:val="00F32C7F"/>
    <w:rsid w:val="00F348CD"/>
    <w:rsid w:val="00F34E2C"/>
    <w:rsid w:val="00F35BAA"/>
    <w:rsid w:val="00F36117"/>
    <w:rsid w:val="00F37B62"/>
    <w:rsid w:val="00F42C99"/>
    <w:rsid w:val="00F42FE7"/>
    <w:rsid w:val="00F46815"/>
    <w:rsid w:val="00F51829"/>
    <w:rsid w:val="00F53231"/>
    <w:rsid w:val="00F62FFB"/>
    <w:rsid w:val="00F63066"/>
    <w:rsid w:val="00F732A6"/>
    <w:rsid w:val="00F73CFA"/>
    <w:rsid w:val="00F74006"/>
    <w:rsid w:val="00F773D2"/>
    <w:rsid w:val="00F82FB9"/>
    <w:rsid w:val="00F84044"/>
    <w:rsid w:val="00F9153B"/>
    <w:rsid w:val="00F91E07"/>
    <w:rsid w:val="00F9459F"/>
    <w:rsid w:val="00F967C8"/>
    <w:rsid w:val="00FB21AA"/>
    <w:rsid w:val="00FB7F1F"/>
    <w:rsid w:val="00FC142B"/>
    <w:rsid w:val="00FC6FB9"/>
    <w:rsid w:val="00FC7B06"/>
    <w:rsid w:val="00FC7B55"/>
    <w:rsid w:val="00FD3C6C"/>
    <w:rsid w:val="00FD5DEE"/>
    <w:rsid w:val="00FE3808"/>
    <w:rsid w:val="00FE4950"/>
    <w:rsid w:val="00FE720E"/>
    <w:rsid w:val="00FE7DC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6f3,#9f6"/>
    </o:shapedefaults>
    <o:shapelayout v:ext="edit">
      <o:idmap v:ext="edit" data="1"/>
    </o:shapelayout>
  </w:shapeDefaults>
  <w:decimalSymbol w:val=","/>
  <w:listSeparator w:val=";"/>
  <w14:docId w14:val="3D2DFC8B"/>
  <w15:chartTrackingRefBased/>
  <w15:docId w15:val="{EA93610C-27A7-4DD5-8BD1-ABB8BC02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1FC"/>
    <w:rPr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9B2E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657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basedOn w:val="Zadanifontodlomka"/>
    <w:semiHidden/>
    <w:rsid w:val="00CB345E"/>
  </w:style>
  <w:style w:type="paragraph" w:styleId="Tijeloteksta3">
    <w:name w:val="Body Text 3"/>
    <w:basedOn w:val="Normal"/>
    <w:rsid w:val="00C82714"/>
    <w:pPr>
      <w:jc w:val="both"/>
    </w:pPr>
    <w:rPr>
      <w:b/>
      <w:sz w:val="22"/>
      <w:lang w:val="hr-HR" w:eastAsia="hr-HR"/>
    </w:rPr>
  </w:style>
  <w:style w:type="paragraph" w:styleId="Opisslike">
    <w:name w:val="caption"/>
    <w:basedOn w:val="Normal"/>
    <w:next w:val="Normal"/>
    <w:unhideWhenUsed/>
    <w:qFormat/>
    <w:rsid w:val="00DB0EA6"/>
    <w:rPr>
      <w:b/>
      <w:bCs/>
    </w:rPr>
  </w:style>
  <w:style w:type="paragraph" w:styleId="Odlomakpopisa">
    <w:name w:val="List Paragraph"/>
    <w:basedOn w:val="Normal"/>
    <w:uiPriority w:val="34"/>
    <w:qFormat/>
    <w:rsid w:val="004C7BD6"/>
    <w:pPr>
      <w:ind w:left="708"/>
    </w:pPr>
  </w:style>
  <w:style w:type="table" w:styleId="Reetkatablice">
    <w:name w:val="Table Grid"/>
    <w:basedOn w:val="Obinatablica"/>
    <w:rsid w:val="00AF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C95F35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C95F35"/>
    <w:rPr>
      <w:rFonts w:ascii="Tahoma" w:hAnsi="Tahoma" w:cs="Tahoma"/>
      <w:sz w:val="16"/>
      <w:szCs w:val="16"/>
      <w:lang w:val="en-US" w:eastAsia="en-US"/>
    </w:rPr>
  </w:style>
  <w:style w:type="character" w:styleId="Hiperveza">
    <w:name w:val="Hyperlink"/>
    <w:uiPriority w:val="99"/>
    <w:rsid w:val="00616A2C"/>
    <w:rPr>
      <w:color w:val="0000FF"/>
      <w:u w:val="single"/>
    </w:rPr>
  </w:style>
  <w:style w:type="paragraph" w:customStyle="1" w:styleId="Default">
    <w:name w:val="Default"/>
    <w:rsid w:val="006E339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Zaglavlje">
    <w:name w:val="header"/>
    <w:basedOn w:val="Normal"/>
    <w:link w:val="ZaglavljeChar"/>
    <w:rsid w:val="00973F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73FC5"/>
    <w:rPr>
      <w:lang w:val="en-US" w:eastAsia="en-US"/>
    </w:rPr>
  </w:style>
  <w:style w:type="paragraph" w:styleId="Podnoje">
    <w:name w:val="footer"/>
    <w:basedOn w:val="Normal"/>
    <w:link w:val="PodnojeChar"/>
    <w:uiPriority w:val="99"/>
    <w:rsid w:val="00973F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73FC5"/>
    <w:rPr>
      <w:lang w:val="en-US" w:eastAsia="en-US"/>
    </w:rPr>
  </w:style>
  <w:style w:type="paragraph" w:styleId="Tekstfusnote">
    <w:name w:val="footnote text"/>
    <w:basedOn w:val="Normal"/>
    <w:link w:val="TekstfusnoteChar"/>
    <w:rsid w:val="009B2E6F"/>
  </w:style>
  <w:style w:type="character" w:customStyle="1" w:styleId="TekstfusnoteChar">
    <w:name w:val="Tekst fusnote Char"/>
    <w:basedOn w:val="Zadanifontodlomka"/>
    <w:link w:val="Tekstfusnote"/>
    <w:rsid w:val="009B2E6F"/>
    <w:rPr>
      <w:lang w:val="en-US" w:eastAsia="en-US"/>
    </w:rPr>
  </w:style>
  <w:style w:type="paragraph" w:styleId="Naslov">
    <w:name w:val="Title"/>
    <w:basedOn w:val="Normal"/>
    <w:next w:val="Normal"/>
    <w:link w:val="NaslovChar"/>
    <w:qFormat/>
    <w:rsid w:val="001B533C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NaslovChar">
    <w:name w:val="Naslov Char"/>
    <w:basedOn w:val="Zadanifontodlomka"/>
    <w:link w:val="Naslov"/>
    <w:rsid w:val="001B533C"/>
    <w:rPr>
      <w:rFonts w:asciiTheme="majorHAnsi" w:eastAsiaTheme="majorEastAsia" w:hAnsiTheme="majorHAnsi" w:cstheme="majorBidi"/>
      <w:b/>
      <w:spacing w:val="-10"/>
      <w:kern w:val="28"/>
      <w:sz w:val="36"/>
      <w:szCs w:val="56"/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9B2E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9B2E6F"/>
    <w:pPr>
      <w:spacing w:line="259" w:lineRule="auto"/>
      <w:outlineLvl w:val="9"/>
    </w:pPr>
    <w:rPr>
      <w:lang w:val="hr-HR"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9B2E6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hr-HR"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9B2E6F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hr-HR"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9B2E6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4657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Bezproreda">
    <w:name w:val="No Spacing"/>
    <w:link w:val="BezproredaChar"/>
    <w:uiPriority w:val="1"/>
    <w:qFormat/>
    <w:rsid w:val="0006113D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06113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gornja-vrba.hr" TargetMode="External"/><Relationship Id="rId17" Type="http://schemas.openxmlformats.org/officeDocument/2006/relationships/hyperlink" Target="mailto:opcina.gornja.vrba@sb.t-com.h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sz="2000" b="1"/>
              <a:t>PRORAČUN OPĆINE </a:t>
            </a:r>
            <a:r>
              <a:rPr lang="hr-HR" sz="2000" b="1"/>
              <a:t>GORNJA VRBA</a:t>
            </a:r>
            <a:endParaRPr lang="en-US" sz="2000" b="1"/>
          </a:p>
        </c:rich>
      </c:tx>
      <c:layout>
        <c:manualLayout>
          <c:xMode val="edge"/>
          <c:yMode val="edge"/>
          <c:x val="0.20002064062380553"/>
          <c:y val="5.15314664189744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0679019188135463"/>
          <c:y val="0.12484818028079943"/>
          <c:w val="0.80120261009040561"/>
          <c:h val="0.764013762428645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PRORAČUN OPĆINE GORNJA VRBA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Proračun 2022.</c:v>
                </c:pt>
                <c:pt idx="1">
                  <c:v>Plan 2023.</c:v>
                </c:pt>
                <c:pt idx="2">
                  <c:v>Projekcija 2024.</c:v>
                </c:pt>
                <c:pt idx="3">
                  <c:v>Projekcija 2025.</c:v>
                </c:pt>
              </c:strCache>
            </c:strRef>
          </c:cat>
          <c:val>
            <c:numRef>
              <c:f>List1!$B$2:$B$5</c:f>
              <c:numCache>
                <c:formatCode>#,##0</c:formatCode>
                <c:ptCount val="4"/>
                <c:pt idx="0">
                  <c:v>1879089</c:v>
                </c:pt>
                <c:pt idx="1">
                  <c:v>1631700</c:v>
                </c:pt>
                <c:pt idx="2">
                  <c:v>1720500</c:v>
                </c:pt>
                <c:pt idx="3">
                  <c:v>1777400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F7-4F11-BCD9-D2665EAA0BF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574038096"/>
        <c:axId val="1"/>
      </c:barChart>
      <c:catAx>
        <c:axId val="1574038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  <c:max val="2000000"/>
          <c:min val="0"/>
        </c:scaling>
        <c:delete val="0"/>
        <c:axPos val="l"/>
        <c:numFmt formatCode="#,##0\ [$€-1]" sourceLinked="0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74038096"/>
        <c:crosses val="autoZero"/>
        <c:crossBetween val="between"/>
        <c:majorUnit val="1000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Udio (%) pojedine vrste prihoda u ukupnim prihodima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615C-4E69-8A58-6F2179A45A7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15C-4E69-8A58-6F2179A45A7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15C-4E69-8A58-6F2179A45A74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15C-4E69-8A58-6F2179A45A74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615C-4E69-8A58-6F2179A45A74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15C-4E69-8A58-6F2179A45A74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615C-4E69-8A58-6F2179A45A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uprav. i admin. pristojbi, pristojbi po posebnim propisima</c:v>
                </c:pt>
                <c:pt idx="4">
                  <c:v>Prihodi od pruženih usluga</c:v>
                </c:pt>
                <c:pt idx="5">
                  <c:v>Kazne, upravne mjere i ostali prihodi</c:v>
                </c:pt>
                <c:pt idx="6">
                  <c:v>Prihodi od prodaje nefinancijske imovine</c:v>
                </c:pt>
              </c:strCache>
            </c:strRef>
          </c:cat>
          <c:val>
            <c:numRef>
              <c:f>List1!$B$2:$B$8</c:f>
              <c:numCache>
                <c:formatCode>0.00%</c:formatCode>
                <c:ptCount val="7"/>
                <c:pt idx="0">
                  <c:v>0.35899999999999999</c:v>
                </c:pt>
                <c:pt idx="1">
                  <c:v>0.41839999999999999</c:v>
                </c:pt>
                <c:pt idx="2">
                  <c:v>4.7399999999999998E-2</c:v>
                </c:pt>
                <c:pt idx="3">
                  <c:v>0.15809999999999999</c:v>
                </c:pt>
                <c:pt idx="4">
                  <c:v>7.0000000000000001E-3</c:v>
                </c:pt>
                <c:pt idx="5">
                  <c:v>6.9999999999999999E-4</c:v>
                </c:pt>
                <c:pt idx="6">
                  <c:v>9.4000000000000004E-3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15C-4E69-8A58-6F2179A45A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Udio (%) pojedine vrste rashoda u ukupnim rashodima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0-AD20-4421-9802-C6F88C98E43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D20-4421-9802-C6F88C98E43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2-AD20-4421-9802-C6F88C98E43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D20-4421-9802-C6F88C98E43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5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4-AD20-4421-9802-C6F88C98E43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6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AD20-4421-9802-C6F88C98E433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6-AD20-4421-9802-C6F88C98E43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D20-4421-9802-C6F88C98E43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AD20-4421-9802-C6F88C98E433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A-AD20-4421-9802-C6F88C98E4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List1!$A$2:$A$11</c:f>
              <c:strCache>
                <c:ptCount val="10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Ostali rashodi (donacije)</c:v>
                </c:pt>
                <c:pt idx="7">
                  <c:v>Rashodi za nabavu ne proizvedene dugotrajne imovine</c:v>
                </c:pt>
                <c:pt idx="8">
                  <c:v>Rashodi za nabavu proizvedene dugotrajne imovine</c:v>
                </c:pt>
                <c:pt idx="9">
                  <c:v>Rashodi za dodatna ulaganja na nefin.imovini</c:v>
                </c:pt>
              </c:strCache>
            </c:strRef>
          </c:cat>
          <c:val>
            <c:numRef>
              <c:f>List1!$B$2:$B$11</c:f>
              <c:numCache>
                <c:formatCode>0.00%</c:formatCode>
                <c:ptCount val="10"/>
                <c:pt idx="0">
                  <c:v>9.4E-2</c:v>
                </c:pt>
                <c:pt idx="1">
                  <c:v>0.26860000000000001</c:v>
                </c:pt>
                <c:pt idx="2">
                  <c:v>2.8999999999999998E-3</c:v>
                </c:pt>
                <c:pt idx="3">
                  <c:v>1.6199999999999999E-2</c:v>
                </c:pt>
                <c:pt idx="4">
                  <c:v>4.0000000000000001E-3</c:v>
                </c:pt>
                <c:pt idx="5">
                  <c:v>0.1158</c:v>
                </c:pt>
                <c:pt idx="6">
                  <c:v>9.4E-2</c:v>
                </c:pt>
                <c:pt idx="7">
                  <c:v>8.3000000000000001E-3</c:v>
                </c:pt>
                <c:pt idx="8">
                  <c:v>0.38090000000000002</c:v>
                </c:pt>
                <c:pt idx="9">
                  <c:v>1.5299999999999999E-2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D20-4421-9802-C6F88C98E4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62D802308B4528BDF06730DEF6BE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69A840-AC1D-413C-A9AB-EC0E8EA2678A}"/>
      </w:docPartPr>
      <w:docPartBody>
        <w:p w:rsidR="00B755B2" w:rsidRDefault="00E312F6" w:rsidP="00E312F6">
          <w:pPr>
            <w:pStyle w:val="E362D802308B4528BDF06730DEF6BE1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[naslov dokumenta]</w:t>
          </w:r>
        </w:p>
      </w:docPartBody>
    </w:docPart>
    <w:docPart>
      <w:docPartPr>
        <w:name w:val="722E679086FB4F049413D3307E2E53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D0035B-7772-4210-94F0-2B9F40AB7FC8}"/>
      </w:docPartPr>
      <w:docPartBody>
        <w:p w:rsidR="00B755B2" w:rsidRDefault="00E312F6" w:rsidP="00E312F6">
          <w:pPr>
            <w:pStyle w:val="722E679086FB4F049413D3307E2E53F9"/>
          </w:pPr>
          <w:r>
            <w:rPr>
              <w:color w:val="4472C4" w:themeColor="accent1"/>
              <w:sz w:val="28"/>
              <w:szCs w:val="28"/>
            </w:rPr>
            <w:t>[podnaslov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F6"/>
    <w:rsid w:val="00AD169E"/>
    <w:rsid w:val="00B755B2"/>
    <w:rsid w:val="00E3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362D802308B4528BDF06730DEF6BE11">
    <w:name w:val="E362D802308B4528BDF06730DEF6BE11"/>
    <w:rsid w:val="00E312F6"/>
  </w:style>
  <w:style w:type="paragraph" w:customStyle="1" w:styleId="722E679086FB4F049413D3307E2E53F9">
    <w:name w:val="722E679086FB4F049413D3307E2E53F9"/>
    <w:rsid w:val="00E31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6081D0-ECDE-4BB1-B2F0-A975E3B5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16</Pages>
  <Words>3086</Words>
  <Characters>20203</Characters>
  <Application>Microsoft Office Word</Application>
  <DocSecurity>0</DocSecurity>
  <Lines>168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VODIČ ZA GRAĐANE</vt:lpstr>
      <vt:lpstr/>
    </vt:vector>
  </TitlesOfParts>
  <Company>ANTIALIEN Corporation</Company>
  <LinksUpToDate>false</LinksUpToDate>
  <CharactersWithSpaces>23243</CharactersWithSpaces>
  <SharedDoc>false</SharedDoc>
  <HLinks>
    <vt:vector size="12" baseType="variant">
      <vt:variant>
        <vt:i4>6946881</vt:i4>
      </vt:variant>
      <vt:variant>
        <vt:i4>3</vt:i4>
      </vt:variant>
      <vt:variant>
        <vt:i4>0</vt:i4>
      </vt:variant>
      <vt:variant>
        <vt:i4>5</vt:i4>
      </vt:variant>
      <vt:variant>
        <vt:lpwstr>mailto:opcina.gornja.vrba@sb.t-com.hr</vt:lpwstr>
      </vt:variant>
      <vt:variant>
        <vt:lpwstr/>
      </vt:variant>
      <vt:variant>
        <vt:i4>2949240</vt:i4>
      </vt:variant>
      <vt:variant>
        <vt:i4>0</vt:i4>
      </vt:variant>
      <vt:variant>
        <vt:i4>0</vt:i4>
      </vt:variant>
      <vt:variant>
        <vt:i4>5</vt:i4>
      </vt:variant>
      <vt:variant>
        <vt:lpwstr>http://www.gornja-vrba.hr/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VODIČ ZA GRAĐANE</dc:title>
  <dc:subject>PRORAČUN OPĆINE GORNJA VRBA ZA 2023. GODINU I PROJEKCIJA PRORAČUNA ZA 2024. - 2025. GODINU</dc:subject>
  <dc:creator>TEST</dc:creator>
  <cp:keywords/>
  <cp:lastModifiedBy>OPĆINA GORNJA VRBA</cp:lastModifiedBy>
  <cp:revision>32</cp:revision>
  <cp:lastPrinted>2019-11-15T08:52:00Z</cp:lastPrinted>
  <dcterms:created xsi:type="dcterms:W3CDTF">2022-10-21T11:40:00Z</dcterms:created>
  <dcterms:modified xsi:type="dcterms:W3CDTF">2022-11-15T12:19:00Z</dcterms:modified>
</cp:coreProperties>
</file>